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9978" w14:textId="660A490D" w:rsidR="00FC0F3D" w:rsidRDefault="009655CF">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14:anchorId="07D7D285" wp14:editId="16F592B8">
                <wp:simplePos x="0" y="0"/>
                <wp:positionH relativeFrom="page">
                  <wp:posOffset>0</wp:posOffset>
                </wp:positionH>
                <wp:positionV relativeFrom="page">
                  <wp:posOffset>0</wp:posOffset>
                </wp:positionV>
                <wp:extent cx="7560310" cy="959421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594215"/>
                        </a:xfrm>
                        <a:prstGeom prst="rect">
                          <a:avLst/>
                        </a:prstGeom>
                        <a:solidFill>
                          <a:srgbClr val="0090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9FA4" id="Rectangle 12" o:spid="_x0000_s1026" style="position:absolute;margin-left:0;margin-top:0;width:595.3pt;height:75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" fillcolor="#00907e" stroked="f">
                <w10:wrap anchorx="page" anchory="page"/>
              </v:rect>
            </w:pict>
          </mc:Fallback>
        </mc:AlternateContent>
      </w:r>
    </w:p>
    <w:p w14:paraId="703D6230" w14:textId="77777777" w:rsidR="00FC0F3D" w:rsidRDefault="00FC0F3D">
      <w:pPr>
        <w:pStyle w:val="BodyText"/>
        <w:rPr>
          <w:rFonts w:ascii="Times New Roman"/>
          <w:sz w:val="20"/>
        </w:rPr>
      </w:pPr>
    </w:p>
    <w:p w14:paraId="7DECC438" w14:textId="77777777" w:rsidR="00FC0F3D" w:rsidRDefault="00FC0F3D">
      <w:pPr>
        <w:pStyle w:val="BodyText"/>
        <w:rPr>
          <w:rFonts w:ascii="Times New Roman"/>
          <w:sz w:val="20"/>
        </w:rPr>
      </w:pPr>
    </w:p>
    <w:p w14:paraId="7F30910D" w14:textId="77777777" w:rsidR="00FC0F3D" w:rsidRDefault="00FC0F3D">
      <w:pPr>
        <w:pStyle w:val="BodyText"/>
        <w:rPr>
          <w:rFonts w:ascii="Times New Roman"/>
          <w:sz w:val="20"/>
        </w:rPr>
      </w:pPr>
    </w:p>
    <w:p w14:paraId="0539918B" w14:textId="77777777" w:rsidR="00FC0F3D" w:rsidRDefault="00FC0F3D">
      <w:pPr>
        <w:pStyle w:val="BodyText"/>
        <w:rPr>
          <w:rFonts w:ascii="Times New Roman"/>
          <w:sz w:val="20"/>
        </w:rPr>
      </w:pPr>
    </w:p>
    <w:p w14:paraId="0C9131AE" w14:textId="77777777" w:rsidR="00FC0F3D" w:rsidRDefault="00FC0F3D">
      <w:pPr>
        <w:pStyle w:val="BodyText"/>
        <w:rPr>
          <w:rFonts w:ascii="Times New Roman"/>
          <w:sz w:val="20"/>
        </w:rPr>
      </w:pPr>
    </w:p>
    <w:p w14:paraId="392B8BD2" w14:textId="77777777" w:rsidR="00FC0F3D" w:rsidRDefault="004C1C6A">
      <w:pPr>
        <w:spacing w:before="261"/>
        <w:ind w:left="3634"/>
        <w:rPr>
          <w:sz w:val="32"/>
        </w:rPr>
      </w:pPr>
      <w:r>
        <w:rPr>
          <w:color w:val="FFFFFF"/>
          <w:spacing w:val="21"/>
          <w:w w:val="70"/>
          <w:sz w:val="32"/>
        </w:rPr>
        <w:t>NORTHERN</w:t>
      </w:r>
      <w:r>
        <w:rPr>
          <w:color w:val="FFFFFF"/>
          <w:spacing w:val="89"/>
          <w:sz w:val="32"/>
        </w:rPr>
        <w:t xml:space="preserve"> </w:t>
      </w:r>
      <w:r>
        <w:rPr>
          <w:color w:val="FFFFFF"/>
          <w:spacing w:val="21"/>
          <w:w w:val="70"/>
          <w:sz w:val="32"/>
        </w:rPr>
        <w:t>IRELAND</w:t>
      </w:r>
      <w:r>
        <w:rPr>
          <w:color w:val="FFFFFF"/>
          <w:spacing w:val="100"/>
          <w:w w:val="70"/>
          <w:sz w:val="32"/>
        </w:rPr>
        <w:t xml:space="preserve"> </w:t>
      </w:r>
      <w:r>
        <w:rPr>
          <w:color w:val="FFFFFF"/>
          <w:spacing w:val="21"/>
          <w:w w:val="70"/>
          <w:sz w:val="32"/>
        </w:rPr>
        <w:t>TRANSPORT</w:t>
      </w:r>
      <w:r>
        <w:rPr>
          <w:color w:val="FFFFFF"/>
          <w:spacing w:val="90"/>
          <w:sz w:val="32"/>
        </w:rPr>
        <w:t xml:space="preserve"> </w:t>
      </w:r>
      <w:r>
        <w:rPr>
          <w:color w:val="FFFFFF"/>
          <w:spacing w:val="21"/>
          <w:w w:val="70"/>
          <w:sz w:val="32"/>
        </w:rPr>
        <w:t>HOLDING</w:t>
      </w:r>
      <w:r>
        <w:rPr>
          <w:color w:val="FFFFFF"/>
          <w:spacing w:val="90"/>
          <w:sz w:val="32"/>
        </w:rPr>
        <w:t xml:space="preserve"> </w:t>
      </w:r>
      <w:r>
        <w:rPr>
          <w:color w:val="FFFFFF"/>
          <w:spacing w:val="23"/>
          <w:w w:val="70"/>
          <w:sz w:val="32"/>
        </w:rPr>
        <w:t>COMPANY</w:t>
      </w:r>
    </w:p>
    <w:p w14:paraId="569FC630" w14:textId="77777777" w:rsidR="00FC0F3D" w:rsidRDefault="004C1C6A">
      <w:pPr>
        <w:pStyle w:val="Title"/>
      </w:pPr>
      <w:r>
        <w:rPr>
          <w:color w:val="FFFFFF"/>
          <w:w w:val="80"/>
        </w:rPr>
        <w:t>UK</w:t>
      </w:r>
      <w:r>
        <w:rPr>
          <w:color w:val="FFFFFF"/>
          <w:spacing w:val="16"/>
          <w:w w:val="80"/>
        </w:rPr>
        <w:t xml:space="preserve"> </w:t>
      </w:r>
      <w:r>
        <w:rPr>
          <w:color w:val="FFFFFF"/>
          <w:w w:val="80"/>
        </w:rPr>
        <w:t>group</w:t>
      </w:r>
      <w:r>
        <w:rPr>
          <w:color w:val="FFFFFF"/>
          <w:spacing w:val="-16"/>
          <w:w w:val="80"/>
        </w:rPr>
        <w:t xml:space="preserve"> </w:t>
      </w:r>
      <w:r>
        <w:rPr>
          <w:color w:val="FFFFFF"/>
          <w:w w:val="80"/>
        </w:rPr>
        <w:t>Tax</w:t>
      </w:r>
      <w:r>
        <w:rPr>
          <w:color w:val="FFFFFF"/>
          <w:spacing w:val="17"/>
          <w:w w:val="80"/>
        </w:rPr>
        <w:t xml:space="preserve"> </w:t>
      </w:r>
      <w:r>
        <w:rPr>
          <w:color w:val="FFFFFF"/>
          <w:w w:val="80"/>
        </w:rPr>
        <w:t>Strategy</w:t>
      </w:r>
    </w:p>
    <w:p w14:paraId="4A83038B" w14:textId="55C58120" w:rsidR="00FC0F3D" w:rsidRDefault="004C1C6A" w:rsidP="002E4551">
      <w:pPr>
        <w:spacing w:before="275"/>
        <w:ind w:left="6946"/>
        <w:rPr>
          <w:i/>
          <w:sz w:val="28"/>
        </w:rPr>
      </w:pPr>
      <w:r>
        <w:rPr>
          <w:i/>
          <w:color w:val="FFFFFF"/>
          <w:spacing w:val="14"/>
          <w:w w:val="85"/>
          <w:sz w:val="28"/>
        </w:rPr>
        <w:t>For</w:t>
      </w:r>
      <w:r>
        <w:rPr>
          <w:i/>
          <w:color w:val="FFFFFF"/>
          <w:spacing w:val="17"/>
          <w:w w:val="85"/>
          <w:sz w:val="28"/>
        </w:rPr>
        <w:t xml:space="preserve"> </w:t>
      </w:r>
      <w:r>
        <w:rPr>
          <w:i/>
          <w:color w:val="FFFFFF"/>
          <w:spacing w:val="16"/>
          <w:w w:val="85"/>
          <w:sz w:val="28"/>
        </w:rPr>
        <w:t>year</w:t>
      </w:r>
      <w:r>
        <w:rPr>
          <w:i/>
          <w:color w:val="FFFFFF"/>
          <w:spacing w:val="17"/>
          <w:w w:val="85"/>
          <w:sz w:val="28"/>
        </w:rPr>
        <w:t xml:space="preserve"> </w:t>
      </w:r>
      <w:r>
        <w:rPr>
          <w:i/>
          <w:color w:val="FFFFFF"/>
          <w:spacing w:val="18"/>
          <w:w w:val="85"/>
          <w:sz w:val="28"/>
        </w:rPr>
        <w:t>ending</w:t>
      </w:r>
      <w:r>
        <w:rPr>
          <w:i/>
          <w:color w:val="FFFFFF"/>
          <w:spacing w:val="17"/>
          <w:w w:val="85"/>
          <w:sz w:val="28"/>
        </w:rPr>
        <w:t xml:space="preserve"> </w:t>
      </w:r>
      <w:r w:rsidR="00E03C0A">
        <w:rPr>
          <w:i/>
          <w:color w:val="FFFFFF"/>
          <w:spacing w:val="11"/>
          <w:w w:val="85"/>
          <w:sz w:val="28"/>
        </w:rPr>
        <w:t xml:space="preserve">31 </w:t>
      </w:r>
      <w:r w:rsidR="003C4B8A">
        <w:rPr>
          <w:i/>
          <w:color w:val="FFFFFF"/>
          <w:spacing w:val="11"/>
          <w:w w:val="85"/>
          <w:sz w:val="28"/>
        </w:rPr>
        <w:t xml:space="preserve">March </w:t>
      </w:r>
      <w:r w:rsidR="00E43443">
        <w:rPr>
          <w:i/>
          <w:color w:val="FFFFFF"/>
          <w:spacing w:val="11"/>
          <w:w w:val="85"/>
          <w:sz w:val="28"/>
        </w:rPr>
        <w:t>202</w:t>
      </w:r>
      <w:r w:rsidR="00E03C0A">
        <w:rPr>
          <w:i/>
          <w:color w:val="FFFFFF"/>
          <w:spacing w:val="11"/>
          <w:w w:val="85"/>
          <w:sz w:val="28"/>
        </w:rPr>
        <w:t>4</w:t>
      </w:r>
    </w:p>
    <w:p w14:paraId="1F2BB8C0" w14:textId="77777777" w:rsidR="00FC0F3D" w:rsidRDefault="00FC0F3D">
      <w:pPr>
        <w:pStyle w:val="BodyText"/>
        <w:rPr>
          <w:i/>
          <w:sz w:val="20"/>
        </w:rPr>
      </w:pPr>
    </w:p>
    <w:p w14:paraId="6B5B5BA3" w14:textId="77777777" w:rsidR="00FC0F3D" w:rsidRDefault="00FC0F3D">
      <w:pPr>
        <w:pStyle w:val="BodyText"/>
        <w:rPr>
          <w:i/>
          <w:sz w:val="20"/>
        </w:rPr>
      </w:pPr>
    </w:p>
    <w:p w14:paraId="2AD77DC4" w14:textId="77777777" w:rsidR="00FC0F3D" w:rsidRDefault="00FC0F3D">
      <w:pPr>
        <w:pStyle w:val="BodyText"/>
        <w:rPr>
          <w:i/>
          <w:sz w:val="20"/>
        </w:rPr>
      </w:pPr>
    </w:p>
    <w:p w14:paraId="2800A44B" w14:textId="77777777" w:rsidR="00FC0F3D" w:rsidRDefault="00FC0F3D">
      <w:pPr>
        <w:pStyle w:val="BodyText"/>
        <w:rPr>
          <w:i/>
          <w:sz w:val="20"/>
        </w:rPr>
      </w:pPr>
    </w:p>
    <w:p w14:paraId="3BAB8DCA" w14:textId="77777777" w:rsidR="00FC0F3D" w:rsidRDefault="00FC0F3D">
      <w:pPr>
        <w:pStyle w:val="BodyText"/>
        <w:rPr>
          <w:i/>
          <w:sz w:val="20"/>
        </w:rPr>
      </w:pPr>
    </w:p>
    <w:p w14:paraId="3F6B4F3B" w14:textId="77777777" w:rsidR="00FC0F3D" w:rsidRDefault="00FC0F3D">
      <w:pPr>
        <w:pStyle w:val="BodyText"/>
        <w:rPr>
          <w:i/>
          <w:sz w:val="20"/>
        </w:rPr>
      </w:pPr>
    </w:p>
    <w:p w14:paraId="12CB63E7" w14:textId="77777777" w:rsidR="00FC0F3D" w:rsidRDefault="00FC0F3D">
      <w:pPr>
        <w:pStyle w:val="BodyText"/>
        <w:rPr>
          <w:i/>
          <w:sz w:val="20"/>
        </w:rPr>
      </w:pPr>
    </w:p>
    <w:p w14:paraId="1FC443C0" w14:textId="77777777" w:rsidR="00FC0F3D" w:rsidRDefault="00FC0F3D">
      <w:pPr>
        <w:pStyle w:val="BodyText"/>
        <w:rPr>
          <w:i/>
          <w:sz w:val="20"/>
        </w:rPr>
      </w:pPr>
    </w:p>
    <w:p w14:paraId="4767E462" w14:textId="77777777" w:rsidR="00FC0F3D" w:rsidRDefault="00FC0F3D">
      <w:pPr>
        <w:pStyle w:val="BodyText"/>
        <w:rPr>
          <w:i/>
          <w:sz w:val="20"/>
        </w:rPr>
      </w:pPr>
    </w:p>
    <w:p w14:paraId="77B14FF3" w14:textId="77777777" w:rsidR="00FC0F3D" w:rsidRDefault="00FC0F3D">
      <w:pPr>
        <w:pStyle w:val="BodyText"/>
        <w:rPr>
          <w:i/>
          <w:sz w:val="20"/>
        </w:rPr>
      </w:pPr>
    </w:p>
    <w:p w14:paraId="68552100" w14:textId="77777777" w:rsidR="00FC0F3D" w:rsidRDefault="00FC0F3D">
      <w:pPr>
        <w:pStyle w:val="BodyText"/>
        <w:rPr>
          <w:i/>
          <w:sz w:val="20"/>
        </w:rPr>
      </w:pPr>
    </w:p>
    <w:p w14:paraId="24DFE36E" w14:textId="77777777" w:rsidR="00FC0F3D" w:rsidRDefault="00FC0F3D">
      <w:pPr>
        <w:pStyle w:val="BodyText"/>
        <w:rPr>
          <w:i/>
          <w:sz w:val="20"/>
        </w:rPr>
      </w:pPr>
    </w:p>
    <w:p w14:paraId="3C24B20D" w14:textId="77777777" w:rsidR="00FC0F3D" w:rsidRDefault="00FC0F3D">
      <w:pPr>
        <w:pStyle w:val="BodyText"/>
        <w:rPr>
          <w:i/>
          <w:sz w:val="20"/>
        </w:rPr>
      </w:pPr>
    </w:p>
    <w:p w14:paraId="66CF7450" w14:textId="77777777" w:rsidR="00FC0F3D" w:rsidRDefault="00FC0F3D">
      <w:pPr>
        <w:pStyle w:val="BodyText"/>
        <w:rPr>
          <w:i/>
          <w:sz w:val="20"/>
        </w:rPr>
      </w:pPr>
    </w:p>
    <w:p w14:paraId="3FAE07DD" w14:textId="77777777" w:rsidR="00FC0F3D" w:rsidRDefault="00FC0F3D">
      <w:pPr>
        <w:pStyle w:val="BodyText"/>
        <w:rPr>
          <w:i/>
          <w:sz w:val="20"/>
        </w:rPr>
      </w:pPr>
    </w:p>
    <w:p w14:paraId="12708B38" w14:textId="77777777" w:rsidR="00FC0F3D" w:rsidRDefault="00FC0F3D">
      <w:pPr>
        <w:pStyle w:val="BodyText"/>
        <w:rPr>
          <w:i/>
          <w:sz w:val="20"/>
        </w:rPr>
      </w:pPr>
    </w:p>
    <w:p w14:paraId="0299A655" w14:textId="77777777" w:rsidR="00FC0F3D" w:rsidRDefault="00FC0F3D">
      <w:pPr>
        <w:pStyle w:val="BodyText"/>
        <w:rPr>
          <w:i/>
          <w:sz w:val="20"/>
        </w:rPr>
      </w:pPr>
    </w:p>
    <w:p w14:paraId="5B8ECD30" w14:textId="77777777" w:rsidR="00FC0F3D" w:rsidRDefault="00FC0F3D">
      <w:pPr>
        <w:pStyle w:val="BodyText"/>
        <w:rPr>
          <w:i/>
          <w:sz w:val="20"/>
        </w:rPr>
      </w:pPr>
    </w:p>
    <w:p w14:paraId="1062A121" w14:textId="77777777" w:rsidR="00FC0F3D" w:rsidRDefault="00FC0F3D">
      <w:pPr>
        <w:pStyle w:val="BodyText"/>
        <w:rPr>
          <w:i/>
          <w:sz w:val="20"/>
        </w:rPr>
      </w:pPr>
    </w:p>
    <w:p w14:paraId="32CC2EAE" w14:textId="77777777" w:rsidR="00FC0F3D" w:rsidRDefault="00FC0F3D">
      <w:pPr>
        <w:pStyle w:val="BodyText"/>
        <w:rPr>
          <w:i/>
          <w:sz w:val="20"/>
        </w:rPr>
      </w:pPr>
    </w:p>
    <w:p w14:paraId="5E278BD2" w14:textId="77777777" w:rsidR="00FC0F3D" w:rsidRDefault="00FC0F3D">
      <w:pPr>
        <w:pStyle w:val="BodyText"/>
        <w:rPr>
          <w:i/>
          <w:sz w:val="20"/>
        </w:rPr>
      </w:pPr>
    </w:p>
    <w:p w14:paraId="2E2BE37D" w14:textId="77777777" w:rsidR="00FC0F3D" w:rsidRDefault="00FC0F3D">
      <w:pPr>
        <w:pStyle w:val="BodyText"/>
        <w:rPr>
          <w:i/>
          <w:sz w:val="20"/>
        </w:rPr>
      </w:pPr>
    </w:p>
    <w:p w14:paraId="64C2F0F9" w14:textId="77777777" w:rsidR="00FC0F3D" w:rsidRDefault="00FC0F3D">
      <w:pPr>
        <w:pStyle w:val="BodyText"/>
        <w:rPr>
          <w:i/>
          <w:sz w:val="20"/>
        </w:rPr>
      </w:pPr>
    </w:p>
    <w:p w14:paraId="25A37400" w14:textId="77777777" w:rsidR="00FC0F3D" w:rsidRDefault="00FC0F3D">
      <w:pPr>
        <w:pStyle w:val="BodyText"/>
        <w:rPr>
          <w:i/>
          <w:sz w:val="20"/>
        </w:rPr>
      </w:pPr>
    </w:p>
    <w:p w14:paraId="0AA5DAED" w14:textId="77777777" w:rsidR="00FC0F3D" w:rsidRDefault="00FC0F3D">
      <w:pPr>
        <w:pStyle w:val="BodyText"/>
        <w:rPr>
          <w:i/>
          <w:sz w:val="20"/>
        </w:rPr>
      </w:pPr>
    </w:p>
    <w:p w14:paraId="17CC6F0C" w14:textId="77777777" w:rsidR="00FC0F3D" w:rsidRDefault="00FC0F3D">
      <w:pPr>
        <w:pStyle w:val="BodyText"/>
        <w:rPr>
          <w:i/>
          <w:sz w:val="20"/>
        </w:rPr>
      </w:pPr>
    </w:p>
    <w:p w14:paraId="18CCD4A3" w14:textId="77777777" w:rsidR="00FC0F3D" w:rsidRDefault="00FC0F3D">
      <w:pPr>
        <w:pStyle w:val="BodyText"/>
        <w:rPr>
          <w:i/>
          <w:sz w:val="20"/>
        </w:rPr>
      </w:pPr>
    </w:p>
    <w:p w14:paraId="05062A50" w14:textId="77777777" w:rsidR="00FC0F3D" w:rsidRDefault="00FC0F3D">
      <w:pPr>
        <w:pStyle w:val="BodyText"/>
        <w:rPr>
          <w:i/>
          <w:sz w:val="20"/>
        </w:rPr>
      </w:pPr>
    </w:p>
    <w:p w14:paraId="58920246" w14:textId="77777777" w:rsidR="00FC0F3D" w:rsidRDefault="00FC0F3D">
      <w:pPr>
        <w:pStyle w:val="BodyText"/>
        <w:rPr>
          <w:i/>
          <w:sz w:val="20"/>
        </w:rPr>
      </w:pPr>
    </w:p>
    <w:p w14:paraId="746E0EA5" w14:textId="77777777" w:rsidR="00FC0F3D" w:rsidRDefault="00FC0F3D">
      <w:pPr>
        <w:pStyle w:val="BodyText"/>
        <w:rPr>
          <w:i/>
          <w:sz w:val="20"/>
        </w:rPr>
      </w:pPr>
    </w:p>
    <w:p w14:paraId="3D34BA44" w14:textId="77777777" w:rsidR="00FC0F3D" w:rsidRDefault="00FC0F3D">
      <w:pPr>
        <w:pStyle w:val="BodyText"/>
        <w:rPr>
          <w:i/>
          <w:sz w:val="20"/>
        </w:rPr>
      </w:pPr>
    </w:p>
    <w:p w14:paraId="2ADA92F4" w14:textId="77777777" w:rsidR="00FC0F3D" w:rsidRDefault="00FC0F3D">
      <w:pPr>
        <w:pStyle w:val="BodyText"/>
        <w:rPr>
          <w:i/>
          <w:sz w:val="20"/>
        </w:rPr>
      </w:pPr>
    </w:p>
    <w:p w14:paraId="1E4462B9" w14:textId="77777777" w:rsidR="00FC0F3D" w:rsidRDefault="00FC0F3D">
      <w:pPr>
        <w:pStyle w:val="BodyText"/>
        <w:rPr>
          <w:i/>
          <w:sz w:val="20"/>
        </w:rPr>
      </w:pPr>
    </w:p>
    <w:p w14:paraId="408C2302" w14:textId="77777777" w:rsidR="00FC0F3D" w:rsidRDefault="00FC0F3D">
      <w:pPr>
        <w:pStyle w:val="BodyText"/>
        <w:rPr>
          <w:i/>
          <w:sz w:val="20"/>
        </w:rPr>
      </w:pPr>
    </w:p>
    <w:p w14:paraId="5B27C85C" w14:textId="77777777" w:rsidR="00FC0F3D" w:rsidRDefault="00FC0F3D">
      <w:pPr>
        <w:pStyle w:val="BodyText"/>
        <w:rPr>
          <w:i/>
          <w:sz w:val="20"/>
        </w:rPr>
      </w:pPr>
    </w:p>
    <w:p w14:paraId="203E59F3" w14:textId="77777777" w:rsidR="00FC0F3D" w:rsidRDefault="00FC0F3D">
      <w:pPr>
        <w:pStyle w:val="BodyText"/>
        <w:rPr>
          <w:i/>
          <w:sz w:val="20"/>
        </w:rPr>
      </w:pPr>
    </w:p>
    <w:p w14:paraId="130D81AB" w14:textId="77777777" w:rsidR="00FC0F3D" w:rsidRDefault="00FC0F3D">
      <w:pPr>
        <w:pStyle w:val="BodyText"/>
        <w:rPr>
          <w:i/>
          <w:sz w:val="20"/>
        </w:rPr>
      </w:pPr>
    </w:p>
    <w:p w14:paraId="08342E0E" w14:textId="77777777" w:rsidR="00FC0F3D" w:rsidRDefault="00FC0F3D">
      <w:pPr>
        <w:pStyle w:val="BodyText"/>
        <w:rPr>
          <w:i/>
          <w:sz w:val="20"/>
        </w:rPr>
      </w:pPr>
    </w:p>
    <w:p w14:paraId="54D773A6" w14:textId="77777777" w:rsidR="00FC0F3D" w:rsidRDefault="00FC0F3D">
      <w:pPr>
        <w:pStyle w:val="BodyText"/>
        <w:rPr>
          <w:i/>
          <w:sz w:val="20"/>
        </w:rPr>
      </w:pPr>
    </w:p>
    <w:p w14:paraId="687C99B8" w14:textId="77777777" w:rsidR="00FC0F3D" w:rsidRDefault="00FC0F3D">
      <w:pPr>
        <w:pStyle w:val="BodyText"/>
        <w:rPr>
          <w:i/>
          <w:sz w:val="20"/>
        </w:rPr>
      </w:pPr>
    </w:p>
    <w:p w14:paraId="0F220FB3" w14:textId="77777777" w:rsidR="00FC0F3D" w:rsidRDefault="00FC0F3D">
      <w:pPr>
        <w:pStyle w:val="BodyText"/>
        <w:rPr>
          <w:i/>
          <w:sz w:val="20"/>
        </w:rPr>
      </w:pPr>
    </w:p>
    <w:p w14:paraId="28C0F010" w14:textId="58CE97DA" w:rsidR="00FC0F3D" w:rsidRDefault="00FC0F3D">
      <w:pPr>
        <w:pStyle w:val="BodyText"/>
        <w:rPr>
          <w:i/>
          <w:sz w:val="20"/>
        </w:rPr>
      </w:pPr>
    </w:p>
    <w:p w14:paraId="0CC66BD5" w14:textId="6AA09AF6" w:rsidR="00FC0F3D" w:rsidRDefault="00FC0F3D">
      <w:pPr>
        <w:pStyle w:val="BodyText"/>
        <w:rPr>
          <w:i/>
          <w:sz w:val="20"/>
        </w:rPr>
      </w:pPr>
    </w:p>
    <w:p w14:paraId="332391F0" w14:textId="0AEBD976" w:rsidR="00FC0F3D" w:rsidRDefault="00A2486A">
      <w:pPr>
        <w:pStyle w:val="BodyText"/>
        <w:spacing w:before="9"/>
        <w:rPr>
          <w:i/>
          <w:sz w:val="20"/>
        </w:rPr>
      </w:pPr>
      <w:r>
        <w:rPr>
          <w:noProof/>
          <w:sz w:val="20"/>
        </w:rPr>
        <w:drawing>
          <wp:anchor distT="0" distB="0" distL="114300" distR="114300" simplePos="0" relativeHeight="251658242" behindDoc="1" locked="0" layoutInCell="1" allowOverlap="1" wp14:anchorId="06AA725C" wp14:editId="2A0EEFA0">
            <wp:simplePos x="0" y="0"/>
            <wp:positionH relativeFrom="column">
              <wp:posOffset>4751882</wp:posOffset>
            </wp:positionH>
            <wp:positionV relativeFrom="paragraph">
              <wp:posOffset>160530</wp:posOffset>
            </wp:positionV>
            <wp:extent cx="2226821" cy="584616"/>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6821" cy="5846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9EE4D4" wp14:editId="03BA0045">
            <wp:simplePos x="0" y="0"/>
            <wp:positionH relativeFrom="column">
              <wp:posOffset>0</wp:posOffset>
            </wp:positionH>
            <wp:positionV relativeFrom="paragraph">
              <wp:posOffset>233899</wp:posOffset>
            </wp:positionV>
            <wp:extent cx="1191718" cy="508503"/>
            <wp:effectExtent l="0" t="0" r="2540" b="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1718" cy="508503"/>
                    </a:xfrm>
                    <a:prstGeom prst="rect">
                      <a:avLst/>
                    </a:prstGeom>
                  </pic:spPr>
                </pic:pic>
              </a:graphicData>
            </a:graphic>
            <wp14:sizeRelH relativeFrom="page">
              <wp14:pctWidth>0</wp14:pctWidth>
            </wp14:sizeRelH>
            <wp14:sizeRelV relativeFrom="page">
              <wp14:pctHeight>0</wp14:pctHeight>
            </wp14:sizeRelV>
          </wp:anchor>
        </w:drawing>
      </w:r>
    </w:p>
    <w:p w14:paraId="76A26991" w14:textId="3D431F98" w:rsidR="00FC0F3D" w:rsidRDefault="00FC0F3D">
      <w:pPr>
        <w:rPr>
          <w:sz w:val="20"/>
        </w:rPr>
        <w:sectPr w:rsidR="00FC0F3D" w:rsidSect="00563D9E">
          <w:type w:val="continuous"/>
          <w:pgSz w:w="11910" w:h="16840"/>
          <w:pgMar w:top="1580" w:right="400" w:bottom="334" w:left="460" w:header="720" w:footer="720" w:gutter="0"/>
          <w:cols w:space="720"/>
        </w:sectPr>
      </w:pPr>
    </w:p>
    <w:p w14:paraId="4FB8E785" w14:textId="061CC219" w:rsidR="00FC0F3D" w:rsidRPr="00EA715C" w:rsidRDefault="004C1C6A">
      <w:pPr>
        <w:pStyle w:val="Heading1"/>
      </w:pPr>
      <w:r w:rsidRPr="00EA715C">
        <w:rPr>
          <w:color w:val="00907E"/>
          <w:w w:val="80"/>
        </w:rPr>
        <w:lastRenderedPageBreak/>
        <w:t>UK</w:t>
      </w:r>
      <w:r w:rsidRPr="00EA715C">
        <w:rPr>
          <w:color w:val="00907E"/>
          <w:spacing w:val="5"/>
          <w:w w:val="80"/>
        </w:rPr>
        <w:t xml:space="preserve"> </w:t>
      </w:r>
      <w:r w:rsidRPr="00EA715C">
        <w:rPr>
          <w:color w:val="00907E"/>
          <w:w w:val="80"/>
        </w:rPr>
        <w:t>group</w:t>
      </w:r>
      <w:r w:rsidRPr="00EA715C">
        <w:rPr>
          <w:color w:val="00907E"/>
          <w:spacing w:val="6"/>
          <w:w w:val="80"/>
        </w:rPr>
        <w:t xml:space="preserve"> </w:t>
      </w:r>
      <w:r w:rsidRPr="00EA715C">
        <w:rPr>
          <w:color w:val="00907E"/>
          <w:w w:val="80"/>
        </w:rPr>
        <w:t>Tax</w:t>
      </w:r>
      <w:r w:rsidRPr="00EA715C">
        <w:rPr>
          <w:color w:val="00907E"/>
          <w:spacing w:val="6"/>
          <w:w w:val="80"/>
        </w:rPr>
        <w:t xml:space="preserve"> </w:t>
      </w:r>
      <w:r w:rsidRPr="00EA715C">
        <w:rPr>
          <w:color w:val="00907E"/>
          <w:w w:val="80"/>
        </w:rPr>
        <w:t>Strategy</w:t>
      </w:r>
    </w:p>
    <w:p w14:paraId="0396BF4C" w14:textId="3C0C7FD8" w:rsidR="00FC0F3D" w:rsidRPr="00EA715C" w:rsidRDefault="004C1C6A">
      <w:pPr>
        <w:pStyle w:val="BodyText"/>
        <w:spacing w:before="125" w:line="249" w:lineRule="auto"/>
        <w:ind w:left="673" w:right="774"/>
        <w:rPr>
          <w:color w:val="231F20"/>
          <w:w w:val="80"/>
        </w:rPr>
      </w:pPr>
      <w:r w:rsidRPr="00EA715C">
        <w:rPr>
          <w:color w:val="231F20"/>
          <w:w w:val="80"/>
        </w:rPr>
        <w:t xml:space="preserve">This document sets out the UK group Tax Strategy of Northern Ireland Transport Holding Company in relation to the UK group in compliance with section 161 and section 16(2) of schedule 19 Finance Act 2016 for the year ending </w:t>
      </w:r>
      <w:r w:rsidR="00623C14">
        <w:rPr>
          <w:color w:val="231F20"/>
          <w:w w:val="80"/>
        </w:rPr>
        <w:t>31</w:t>
      </w:r>
      <w:r w:rsidR="00E43443" w:rsidRPr="00EA715C">
        <w:rPr>
          <w:color w:val="231F20"/>
          <w:w w:val="80"/>
        </w:rPr>
        <w:t xml:space="preserve"> </w:t>
      </w:r>
      <w:r w:rsidR="003C4B8A" w:rsidRPr="00EA715C">
        <w:rPr>
          <w:color w:val="231F20"/>
          <w:w w:val="80"/>
        </w:rPr>
        <w:t xml:space="preserve">March </w:t>
      </w:r>
      <w:r w:rsidR="002E4551">
        <w:rPr>
          <w:color w:val="231F20"/>
          <w:w w:val="80"/>
        </w:rPr>
        <w:t>202</w:t>
      </w:r>
      <w:r w:rsidR="00623C14">
        <w:rPr>
          <w:color w:val="231F20"/>
          <w:w w:val="80"/>
        </w:rPr>
        <w:t>4</w:t>
      </w:r>
      <w:r w:rsidRPr="00EA715C">
        <w:rPr>
          <w:color w:val="231F20"/>
          <w:w w:val="80"/>
        </w:rPr>
        <w:t>.</w:t>
      </w:r>
    </w:p>
    <w:p w14:paraId="49358241" w14:textId="77777777" w:rsidR="00FC0F3D" w:rsidRPr="00EA715C" w:rsidRDefault="004C1C6A">
      <w:pPr>
        <w:pStyle w:val="BodyText"/>
        <w:spacing w:before="116"/>
        <w:ind w:left="673"/>
      </w:pPr>
      <w:r w:rsidRPr="00EA715C">
        <w:rPr>
          <w:color w:val="231F20"/>
          <w:w w:val="80"/>
        </w:rPr>
        <w:t>This</w:t>
      </w:r>
      <w:r w:rsidRPr="00EA715C">
        <w:rPr>
          <w:color w:val="231F20"/>
          <w:spacing w:val="16"/>
          <w:w w:val="80"/>
        </w:rPr>
        <w:t xml:space="preserve"> </w:t>
      </w:r>
      <w:r w:rsidRPr="00EA715C">
        <w:rPr>
          <w:color w:val="231F20"/>
          <w:w w:val="80"/>
        </w:rPr>
        <w:t>following</w:t>
      </w:r>
      <w:r w:rsidRPr="00EA715C">
        <w:rPr>
          <w:color w:val="231F20"/>
          <w:spacing w:val="16"/>
          <w:w w:val="80"/>
        </w:rPr>
        <w:t xml:space="preserve"> </w:t>
      </w:r>
      <w:r w:rsidRPr="00EA715C">
        <w:rPr>
          <w:color w:val="231F20"/>
          <w:w w:val="80"/>
        </w:rPr>
        <w:t>companies</w:t>
      </w:r>
      <w:r w:rsidRPr="00EA715C">
        <w:rPr>
          <w:color w:val="231F20"/>
          <w:spacing w:val="17"/>
          <w:w w:val="80"/>
        </w:rPr>
        <w:t xml:space="preserve"> </w:t>
      </w:r>
      <w:r w:rsidRPr="00EA715C">
        <w:rPr>
          <w:color w:val="231F20"/>
          <w:w w:val="80"/>
        </w:rPr>
        <w:t>are</w:t>
      </w:r>
      <w:r w:rsidRPr="00EA715C">
        <w:rPr>
          <w:color w:val="231F20"/>
          <w:spacing w:val="16"/>
          <w:w w:val="80"/>
        </w:rPr>
        <w:t xml:space="preserve"> </w:t>
      </w:r>
      <w:r w:rsidRPr="00EA715C">
        <w:rPr>
          <w:color w:val="231F20"/>
          <w:w w:val="80"/>
        </w:rPr>
        <w:t>members</w:t>
      </w:r>
      <w:r w:rsidRPr="00EA715C">
        <w:rPr>
          <w:color w:val="231F20"/>
          <w:spacing w:val="17"/>
          <w:w w:val="80"/>
        </w:rPr>
        <w:t xml:space="preserve"> </w:t>
      </w:r>
      <w:r w:rsidRPr="00EA715C">
        <w:rPr>
          <w:color w:val="231F20"/>
          <w:w w:val="80"/>
        </w:rPr>
        <w:t>of</w:t>
      </w:r>
      <w:r w:rsidRPr="00EA715C">
        <w:rPr>
          <w:color w:val="231F20"/>
          <w:spacing w:val="16"/>
          <w:w w:val="80"/>
        </w:rPr>
        <w:t xml:space="preserve"> </w:t>
      </w:r>
      <w:r w:rsidRPr="00EA715C">
        <w:rPr>
          <w:color w:val="231F20"/>
          <w:w w:val="80"/>
        </w:rPr>
        <w:t>the</w:t>
      </w:r>
      <w:r w:rsidRPr="00EA715C">
        <w:rPr>
          <w:color w:val="231F20"/>
          <w:spacing w:val="17"/>
          <w:w w:val="80"/>
        </w:rPr>
        <w:t xml:space="preserve"> </w:t>
      </w:r>
      <w:r w:rsidRPr="00EA715C">
        <w:rPr>
          <w:color w:val="231F20"/>
          <w:w w:val="80"/>
        </w:rPr>
        <w:t>UK</w:t>
      </w:r>
      <w:r w:rsidRPr="00EA715C">
        <w:rPr>
          <w:color w:val="231F20"/>
          <w:spacing w:val="16"/>
          <w:w w:val="80"/>
        </w:rPr>
        <w:t xml:space="preserve"> </w:t>
      </w:r>
      <w:r w:rsidRPr="00EA715C">
        <w:rPr>
          <w:color w:val="231F20"/>
          <w:w w:val="80"/>
        </w:rPr>
        <w:t>group</w:t>
      </w:r>
      <w:r w:rsidRPr="00EA715C">
        <w:rPr>
          <w:color w:val="231F20"/>
          <w:spacing w:val="17"/>
          <w:w w:val="80"/>
        </w:rPr>
        <w:t xml:space="preserve"> </w:t>
      </w:r>
      <w:r w:rsidRPr="00EA715C">
        <w:rPr>
          <w:color w:val="231F20"/>
          <w:w w:val="80"/>
        </w:rPr>
        <w:t>for</w:t>
      </w:r>
      <w:r w:rsidRPr="00EA715C">
        <w:rPr>
          <w:color w:val="231F20"/>
          <w:spacing w:val="16"/>
          <w:w w:val="80"/>
        </w:rPr>
        <w:t xml:space="preserve"> </w:t>
      </w:r>
      <w:r w:rsidRPr="00EA715C">
        <w:rPr>
          <w:color w:val="231F20"/>
          <w:w w:val="80"/>
        </w:rPr>
        <w:t>the</w:t>
      </w:r>
      <w:r w:rsidRPr="00EA715C">
        <w:rPr>
          <w:color w:val="231F20"/>
          <w:spacing w:val="17"/>
          <w:w w:val="80"/>
        </w:rPr>
        <w:t xml:space="preserve"> </w:t>
      </w:r>
      <w:r w:rsidRPr="00EA715C">
        <w:rPr>
          <w:color w:val="231F20"/>
          <w:w w:val="80"/>
        </w:rPr>
        <w:t>purposes</w:t>
      </w:r>
      <w:r w:rsidRPr="00EA715C">
        <w:rPr>
          <w:color w:val="231F20"/>
          <w:spacing w:val="16"/>
          <w:w w:val="80"/>
        </w:rPr>
        <w:t xml:space="preserve"> </w:t>
      </w:r>
      <w:r w:rsidRPr="00EA715C">
        <w:rPr>
          <w:color w:val="231F20"/>
          <w:w w:val="80"/>
        </w:rPr>
        <w:t>of</w:t>
      </w:r>
      <w:r w:rsidRPr="00EA715C">
        <w:rPr>
          <w:color w:val="231F20"/>
          <w:spacing w:val="17"/>
          <w:w w:val="80"/>
        </w:rPr>
        <w:t xml:space="preserve"> </w:t>
      </w:r>
      <w:r w:rsidRPr="00EA715C">
        <w:rPr>
          <w:color w:val="231F20"/>
          <w:w w:val="80"/>
        </w:rPr>
        <w:t>this</w:t>
      </w:r>
      <w:r w:rsidRPr="00EA715C">
        <w:rPr>
          <w:color w:val="231F20"/>
          <w:spacing w:val="5"/>
          <w:w w:val="80"/>
        </w:rPr>
        <w:t xml:space="preserve"> </w:t>
      </w:r>
      <w:r w:rsidRPr="00EA715C">
        <w:rPr>
          <w:color w:val="231F20"/>
          <w:w w:val="80"/>
        </w:rPr>
        <w:t>Tax</w:t>
      </w:r>
      <w:r w:rsidRPr="00EA715C">
        <w:rPr>
          <w:color w:val="231F20"/>
          <w:spacing w:val="17"/>
          <w:w w:val="80"/>
        </w:rPr>
        <w:t xml:space="preserve"> </w:t>
      </w:r>
      <w:r w:rsidRPr="00EA715C">
        <w:rPr>
          <w:color w:val="231F20"/>
          <w:w w:val="80"/>
        </w:rPr>
        <w:t>Strategy:</w:t>
      </w:r>
    </w:p>
    <w:p w14:paraId="24D2C192" w14:textId="2E0C9031" w:rsidR="00FC0F3D" w:rsidRPr="00EA715C" w:rsidRDefault="004C1C6A">
      <w:pPr>
        <w:pStyle w:val="ListParagraph"/>
        <w:numPr>
          <w:ilvl w:val="0"/>
          <w:numId w:val="2"/>
        </w:numPr>
        <w:tabs>
          <w:tab w:val="left" w:pos="973"/>
          <w:tab w:val="left" w:pos="974"/>
        </w:tabs>
        <w:spacing w:before="126"/>
        <w:ind w:hanging="301"/>
        <w:rPr>
          <w:sz w:val="24"/>
        </w:rPr>
      </w:pPr>
      <w:r w:rsidRPr="00EA715C">
        <w:rPr>
          <w:color w:val="231F20"/>
          <w:w w:val="80"/>
          <w:sz w:val="24"/>
        </w:rPr>
        <w:t>Northern</w:t>
      </w:r>
      <w:r w:rsidRPr="00EA715C">
        <w:rPr>
          <w:color w:val="231F20"/>
          <w:spacing w:val="13"/>
          <w:w w:val="80"/>
          <w:sz w:val="24"/>
        </w:rPr>
        <w:t xml:space="preserve"> </w:t>
      </w:r>
      <w:r w:rsidRPr="00EA715C">
        <w:rPr>
          <w:color w:val="231F20"/>
          <w:w w:val="80"/>
          <w:sz w:val="24"/>
        </w:rPr>
        <w:t>Ireland</w:t>
      </w:r>
      <w:r w:rsidRPr="00EA715C">
        <w:rPr>
          <w:color w:val="231F20"/>
          <w:spacing w:val="3"/>
          <w:w w:val="80"/>
          <w:sz w:val="24"/>
        </w:rPr>
        <w:t xml:space="preserve"> </w:t>
      </w:r>
      <w:r w:rsidRPr="00EA715C">
        <w:rPr>
          <w:color w:val="231F20"/>
          <w:w w:val="80"/>
          <w:sz w:val="24"/>
        </w:rPr>
        <w:t>Transport</w:t>
      </w:r>
      <w:r w:rsidRPr="00EA715C">
        <w:rPr>
          <w:color w:val="231F20"/>
          <w:spacing w:val="13"/>
          <w:w w:val="80"/>
          <w:sz w:val="24"/>
        </w:rPr>
        <w:t xml:space="preserve"> </w:t>
      </w:r>
      <w:r w:rsidRPr="00EA715C">
        <w:rPr>
          <w:color w:val="231F20"/>
          <w:w w:val="80"/>
          <w:sz w:val="24"/>
        </w:rPr>
        <w:t>Holding</w:t>
      </w:r>
      <w:r w:rsidRPr="00EA715C">
        <w:rPr>
          <w:color w:val="231F20"/>
          <w:spacing w:val="13"/>
          <w:w w:val="80"/>
          <w:sz w:val="24"/>
        </w:rPr>
        <w:t xml:space="preserve"> </w:t>
      </w:r>
      <w:r w:rsidRPr="00EA715C">
        <w:rPr>
          <w:color w:val="231F20"/>
          <w:w w:val="80"/>
          <w:sz w:val="24"/>
        </w:rPr>
        <w:t>Company</w:t>
      </w:r>
    </w:p>
    <w:p w14:paraId="4458BC3B" w14:textId="085D12E3" w:rsidR="00FC0F3D" w:rsidRPr="00EA715C" w:rsidRDefault="004C1C6A">
      <w:pPr>
        <w:pStyle w:val="ListParagraph"/>
        <w:numPr>
          <w:ilvl w:val="0"/>
          <w:numId w:val="2"/>
        </w:numPr>
        <w:tabs>
          <w:tab w:val="left" w:pos="973"/>
          <w:tab w:val="left" w:pos="974"/>
        </w:tabs>
        <w:ind w:hanging="301"/>
        <w:rPr>
          <w:sz w:val="24"/>
        </w:rPr>
      </w:pPr>
      <w:r w:rsidRPr="00EA715C">
        <w:rPr>
          <w:color w:val="231F20"/>
          <w:w w:val="85"/>
          <w:sz w:val="24"/>
        </w:rPr>
        <w:t>Ulsterbus</w:t>
      </w:r>
      <w:r w:rsidRPr="00EA715C">
        <w:rPr>
          <w:color w:val="231F20"/>
          <w:spacing w:val="-6"/>
          <w:w w:val="85"/>
          <w:sz w:val="24"/>
        </w:rPr>
        <w:t xml:space="preserve"> </w:t>
      </w:r>
      <w:r w:rsidRPr="00EA715C">
        <w:rPr>
          <w:color w:val="231F20"/>
          <w:w w:val="85"/>
          <w:sz w:val="24"/>
        </w:rPr>
        <w:t>Limited</w:t>
      </w:r>
    </w:p>
    <w:p w14:paraId="1B39F422" w14:textId="1150A9F2" w:rsidR="00FC0F3D" w:rsidRPr="00EA715C" w:rsidRDefault="004C1C6A">
      <w:pPr>
        <w:pStyle w:val="ListParagraph"/>
        <w:numPr>
          <w:ilvl w:val="0"/>
          <w:numId w:val="2"/>
        </w:numPr>
        <w:tabs>
          <w:tab w:val="left" w:pos="973"/>
          <w:tab w:val="left" w:pos="974"/>
        </w:tabs>
        <w:ind w:hanging="301"/>
        <w:rPr>
          <w:sz w:val="24"/>
        </w:rPr>
      </w:pPr>
      <w:r w:rsidRPr="00EA715C">
        <w:rPr>
          <w:color w:val="231F20"/>
          <w:w w:val="85"/>
          <w:sz w:val="24"/>
        </w:rPr>
        <w:t>Citybus</w:t>
      </w:r>
      <w:r w:rsidRPr="00EA715C">
        <w:rPr>
          <w:color w:val="231F20"/>
          <w:spacing w:val="-6"/>
          <w:w w:val="85"/>
          <w:sz w:val="24"/>
        </w:rPr>
        <w:t xml:space="preserve"> </w:t>
      </w:r>
      <w:r w:rsidRPr="00EA715C">
        <w:rPr>
          <w:color w:val="231F20"/>
          <w:w w:val="85"/>
          <w:sz w:val="24"/>
        </w:rPr>
        <w:t>Limited</w:t>
      </w:r>
    </w:p>
    <w:p w14:paraId="195787E2" w14:textId="5CD53E93" w:rsidR="00FC0F3D" w:rsidRPr="00EA715C" w:rsidRDefault="004C1C6A">
      <w:pPr>
        <w:pStyle w:val="ListParagraph"/>
        <w:numPr>
          <w:ilvl w:val="0"/>
          <w:numId w:val="2"/>
        </w:numPr>
        <w:tabs>
          <w:tab w:val="left" w:pos="973"/>
          <w:tab w:val="left" w:pos="974"/>
        </w:tabs>
        <w:spacing w:before="126"/>
        <w:ind w:hanging="301"/>
        <w:rPr>
          <w:sz w:val="24"/>
        </w:rPr>
      </w:pPr>
      <w:r w:rsidRPr="00EA715C">
        <w:rPr>
          <w:color w:val="231F20"/>
          <w:w w:val="80"/>
          <w:sz w:val="24"/>
        </w:rPr>
        <w:t>Northern</w:t>
      </w:r>
      <w:r w:rsidRPr="00EA715C">
        <w:rPr>
          <w:color w:val="231F20"/>
          <w:spacing w:val="17"/>
          <w:w w:val="80"/>
          <w:sz w:val="24"/>
        </w:rPr>
        <w:t xml:space="preserve"> </w:t>
      </w:r>
      <w:r w:rsidRPr="00EA715C">
        <w:rPr>
          <w:color w:val="231F20"/>
          <w:w w:val="80"/>
          <w:sz w:val="24"/>
        </w:rPr>
        <w:t>Ireland</w:t>
      </w:r>
      <w:r w:rsidRPr="00EA715C">
        <w:rPr>
          <w:color w:val="231F20"/>
          <w:spacing w:val="17"/>
          <w:w w:val="80"/>
          <w:sz w:val="24"/>
        </w:rPr>
        <w:t xml:space="preserve"> </w:t>
      </w:r>
      <w:r w:rsidRPr="00EA715C">
        <w:rPr>
          <w:color w:val="231F20"/>
          <w:w w:val="80"/>
          <w:sz w:val="24"/>
        </w:rPr>
        <w:t>Railways</w:t>
      </w:r>
      <w:r w:rsidRPr="00EA715C">
        <w:rPr>
          <w:color w:val="231F20"/>
          <w:spacing w:val="17"/>
          <w:w w:val="80"/>
          <w:sz w:val="24"/>
        </w:rPr>
        <w:t xml:space="preserve"> </w:t>
      </w:r>
      <w:r w:rsidRPr="00EA715C">
        <w:rPr>
          <w:color w:val="231F20"/>
          <w:w w:val="80"/>
          <w:sz w:val="24"/>
        </w:rPr>
        <w:t>Company</w:t>
      </w:r>
      <w:r w:rsidRPr="00EA715C">
        <w:rPr>
          <w:color w:val="231F20"/>
          <w:spacing w:val="17"/>
          <w:w w:val="80"/>
          <w:sz w:val="24"/>
        </w:rPr>
        <w:t xml:space="preserve"> </w:t>
      </w:r>
      <w:r w:rsidRPr="00EA715C">
        <w:rPr>
          <w:color w:val="231F20"/>
          <w:w w:val="80"/>
          <w:sz w:val="24"/>
        </w:rPr>
        <w:t>Limited</w:t>
      </w:r>
    </w:p>
    <w:p w14:paraId="4E04A02C" w14:textId="266DC771" w:rsidR="00FC0F3D" w:rsidRPr="00EA715C" w:rsidRDefault="004C1C6A">
      <w:pPr>
        <w:pStyle w:val="ListParagraph"/>
        <w:numPr>
          <w:ilvl w:val="0"/>
          <w:numId w:val="2"/>
        </w:numPr>
        <w:tabs>
          <w:tab w:val="left" w:pos="973"/>
          <w:tab w:val="left" w:pos="974"/>
        </w:tabs>
        <w:ind w:hanging="301"/>
        <w:rPr>
          <w:sz w:val="24"/>
        </w:rPr>
      </w:pPr>
      <w:r w:rsidRPr="00EA715C">
        <w:rPr>
          <w:color w:val="231F20"/>
          <w:w w:val="80"/>
          <w:sz w:val="24"/>
        </w:rPr>
        <w:t>NIR</w:t>
      </w:r>
      <w:r w:rsidRPr="00EA715C">
        <w:rPr>
          <w:color w:val="231F20"/>
          <w:spacing w:val="8"/>
          <w:w w:val="80"/>
          <w:sz w:val="24"/>
        </w:rPr>
        <w:t xml:space="preserve"> </w:t>
      </w:r>
      <w:r w:rsidRPr="00EA715C">
        <w:rPr>
          <w:color w:val="231F20"/>
          <w:w w:val="80"/>
          <w:sz w:val="24"/>
        </w:rPr>
        <w:t>Operations</w:t>
      </w:r>
      <w:r w:rsidRPr="00EA715C">
        <w:rPr>
          <w:color w:val="231F20"/>
          <w:spacing w:val="9"/>
          <w:w w:val="80"/>
          <w:sz w:val="24"/>
        </w:rPr>
        <w:t xml:space="preserve"> </w:t>
      </w:r>
      <w:r w:rsidRPr="00EA715C">
        <w:rPr>
          <w:color w:val="231F20"/>
          <w:w w:val="80"/>
          <w:sz w:val="24"/>
        </w:rPr>
        <w:t>Limited</w:t>
      </w:r>
    </w:p>
    <w:p w14:paraId="2281A53B" w14:textId="2010604A" w:rsidR="00FC0F3D" w:rsidRPr="00EA715C" w:rsidRDefault="004C1C6A">
      <w:pPr>
        <w:pStyle w:val="ListParagraph"/>
        <w:numPr>
          <w:ilvl w:val="0"/>
          <w:numId w:val="2"/>
        </w:numPr>
        <w:tabs>
          <w:tab w:val="left" w:pos="973"/>
          <w:tab w:val="left" w:pos="974"/>
        </w:tabs>
        <w:ind w:hanging="301"/>
        <w:rPr>
          <w:sz w:val="24"/>
        </w:rPr>
      </w:pPr>
      <w:proofErr w:type="spellStart"/>
      <w:r w:rsidRPr="00EA715C">
        <w:rPr>
          <w:color w:val="231F20"/>
          <w:w w:val="85"/>
          <w:sz w:val="24"/>
        </w:rPr>
        <w:t>Flexibus</w:t>
      </w:r>
      <w:proofErr w:type="spellEnd"/>
      <w:r w:rsidRPr="00EA715C">
        <w:rPr>
          <w:color w:val="231F20"/>
          <w:spacing w:val="-6"/>
          <w:w w:val="85"/>
          <w:sz w:val="24"/>
        </w:rPr>
        <w:t xml:space="preserve"> </w:t>
      </w:r>
      <w:r w:rsidRPr="00EA715C">
        <w:rPr>
          <w:color w:val="231F20"/>
          <w:w w:val="85"/>
          <w:sz w:val="24"/>
        </w:rPr>
        <w:t>Limited</w:t>
      </w:r>
    </w:p>
    <w:p w14:paraId="62AC9BD4" w14:textId="77777777" w:rsidR="00FC0F3D" w:rsidRPr="00EA715C" w:rsidRDefault="004C1C6A">
      <w:pPr>
        <w:pStyle w:val="ListParagraph"/>
        <w:numPr>
          <w:ilvl w:val="0"/>
          <w:numId w:val="2"/>
        </w:numPr>
        <w:tabs>
          <w:tab w:val="left" w:pos="973"/>
          <w:tab w:val="left" w:pos="974"/>
        </w:tabs>
        <w:spacing w:before="126"/>
        <w:ind w:hanging="301"/>
        <w:rPr>
          <w:sz w:val="24"/>
        </w:rPr>
      </w:pPr>
      <w:r w:rsidRPr="00EA715C">
        <w:rPr>
          <w:color w:val="231F20"/>
          <w:w w:val="80"/>
          <w:sz w:val="24"/>
        </w:rPr>
        <w:t>Translink</w:t>
      </w:r>
      <w:r w:rsidRPr="00EA715C">
        <w:rPr>
          <w:color w:val="231F20"/>
          <w:spacing w:val="8"/>
          <w:w w:val="80"/>
          <w:sz w:val="24"/>
        </w:rPr>
        <w:t xml:space="preserve"> </w:t>
      </w:r>
      <w:r w:rsidRPr="00EA715C">
        <w:rPr>
          <w:color w:val="231F20"/>
          <w:w w:val="80"/>
          <w:sz w:val="24"/>
        </w:rPr>
        <w:t>(NI)</w:t>
      </w:r>
      <w:r w:rsidRPr="00EA715C">
        <w:rPr>
          <w:color w:val="231F20"/>
          <w:spacing w:val="9"/>
          <w:w w:val="80"/>
          <w:sz w:val="24"/>
        </w:rPr>
        <w:t xml:space="preserve"> </w:t>
      </w:r>
      <w:r w:rsidRPr="00EA715C">
        <w:rPr>
          <w:color w:val="231F20"/>
          <w:w w:val="80"/>
          <w:sz w:val="24"/>
        </w:rPr>
        <w:t>Limited</w:t>
      </w:r>
    </w:p>
    <w:p w14:paraId="12E2F43A" w14:textId="77777777" w:rsidR="00FC0F3D" w:rsidRPr="00EA715C" w:rsidRDefault="004C1C6A">
      <w:pPr>
        <w:pStyle w:val="ListParagraph"/>
        <w:numPr>
          <w:ilvl w:val="0"/>
          <w:numId w:val="2"/>
        </w:numPr>
        <w:tabs>
          <w:tab w:val="left" w:pos="973"/>
          <w:tab w:val="left" w:pos="974"/>
        </w:tabs>
        <w:ind w:hanging="301"/>
        <w:rPr>
          <w:sz w:val="24"/>
        </w:rPr>
      </w:pPr>
      <w:r w:rsidRPr="00EA715C">
        <w:rPr>
          <w:color w:val="231F20"/>
          <w:w w:val="80"/>
          <w:sz w:val="24"/>
        </w:rPr>
        <w:t>NIR</w:t>
      </w:r>
      <w:r w:rsidRPr="00EA715C">
        <w:rPr>
          <w:color w:val="231F20"/>
          <w:spacing w:val="7"/>
          <w:w w:val="80"/>
          <w:sz w:val="24"/>
        </w:rPr>
        <w:t xml:space="preserve"> </w:t>
      </w:r>
      <w:r w:rsidRPr="00EA715C">
        <w:rPr>
          <w:color w:val="231F20"/>
          <w:w w:val="80"/>
          <w:sz w:val="24"/>
        </w:rPr>
        <w:t>Networks</w:t>
      </w:r>
      <w:r w:rsidRPr="00EA715C">
        <w:rPr>
          <w:color w:val="231F20"/>
          <w:spacing w:val="8"/>
          <w:w w:val="80"/>
          <w:sz w:val="24"/>
        </w:rPr>
        <w:t xml:space="preserve"> </w:t>
      </w:r>
      <w:r w:rsidRPr="00EA715C">
        <w:rPr>
          <w:color w:val="231F20"/>
          <w:w w:val="80"/>
          <w:sz w:val="24"/>
        </w:rPr>
        <w:t>Ltd</w:t>
      </w:r>
    </w:p>
    <w:p w14:paraId="27C0113D"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All references to the ‘UK group’ henceforth are a reference to the above companies.</w:t>
      </w:r>
    </w:p>
    <w:p w14:paraId="0E622588" w14:textId="7775982D" w:rsidR="00FC0F3D" w:rsidRPr="00EA715C" w:rsidRDefault="004C1C6A">
      <w:pPr>
        <w:pStyle w:val="BodyText"/>
        <w:spacing w:before="125" w:line="249" w:lineRule="auto"/>
        <w:ind w:left="673" w:right="1139"/>
        <w:rPr>
          <w:color w:val="231F20"/>
          <w:w w:val="80"/>
        </w:rPr>
      </w:pPr>
      <w:r w:rsidRPr="00EA715C">
        <w:rPr>
          <w:color w:val="231F20"/>
          <w:w w:val="80"/>
        </w:rPr>
        <w:t>This Tax Strategy applies to all UK taxes as set out in s15 of Schedule 19 Finance Act 2016 and any reference to ‘tax’, ‘taxes’, or ‘taxation’ are to all taxes as defined within.</w:t>
      </w:r>
    </w:p>
    <w:p w14:paraId="66469A1C" w14:textId="4576FA13" w:rsidR="00FC0F3D" w:rsidRPr="00EA715C" w:rsidRDefault="004C1C6A" w:rsidP="00EA715C">
      <w:pPr>
        <w:pStyle w:val="BodyText"/>
        <w:spacing w:before="125" w:line="249" w:lineRule="auto"/>
        <w:ind w:left="673" w:right="1139"/>
        <w:rPr>
          <w:color w:val="231F20"/>
          <w:w w:val="80"/>
        </w:rPr>
      </w:pPr>
      <w:r w:rsidRPr="00EA715C">
        <w:rPr>
          <w:color w:val="231F20"/>
          <w:w w:val="80"/>
        </w:rPr>
        <w:t xml:space="preserve">Tax is the ultimate responsibility of the Chief Financial Officer who sits on the Group Board and is the Senior Accounting Officer. Day to day tax matters </w:t>
      </w:r>
      <w:proofErr w:type="gramStart"/>
      <w:r w:rsidRPr="00EA715C">
        <w:rPr>
          <w:color w:val="231F20"/>
          <w:w w:val="80"/>
        </w:rPr>
        <w:t>are</w:t>
      </w:r>
      <w:proofErr w:type="gramEnd"/>
      <w:r w:rsidRPr="00EA715C">
        <w:rPr>
          <w:color w:val="231F20"/>
          <w:w w:val="80"/>
        </w:rPr>
        <w:t xml:space="preserve"> delegated to a team of in-house finance professionals who hold a combination of qualifications and experience appropriate to their roles.</w:t>
      </w:r>
    </w:p>
    <w:p w14:paraId="3D931DDB" w14:textId="77777777" w:rsidR="00FC0F3D" w:rsidRPr="00EA715C" w:rsidRDefault="00FC0F3D">
      <w:pPr>
        <w:pStyle w:val="BodyText"/>
        <w:rPr>
          <w:sz w:val="28"/>
        </w:rPr>
      </w:pPr>
    </w:p>
    <w:p w14:paraId="4FED33CC" w14:textId="3A3F9159" w:rsidR="00FC0F3D" w:rsidRPr="00EA715C" w:rsidRDefault="004C1C6A">
      <w:pPr>
        <w:pStyle w:val="Heading1"/>
        <w:spacing w:before="195"/>
      </w:pPr>
      <w:r w:rsidRPr="00EA715C">
        <w:rPr>
          <w:color w:val="00907E"/>
          <w:w w:val="90"/>
        </w:rPr>
        <w:t>Background</w:t>
      </w:r>
    </w:p>
    <w:p w14:paraId="59E8FFC3" w14:textId="71DE1930" w:rsidR="00FC0F3D" w:rsidRPr="00EA715C" w:rsidRDefault="004C1C6A" w:rsidP="00EA715C">
      <w:pPr>
        <w:pStyle w:val="BodyText"/>
        <w:spacing w:before="125" w:line="249" w:lineRule="auto"/>
        <w:ind w:left="673" w:right="1139"/>
        <w:rPr>
          <w:color w:val="231F20"/>
          <w:w w:val="80"/>
        </w:rPr>
      </w:pPr>
      <w:r w:rsidRPr="00EA715C">
        <w:rPr>
          <w:color w:val="231F20"/>
          <w:w w:val="80"/>
        </w:rPr>
        <w:t>The principal activity of the UK group is the operation of public transport services in Northern Ireland. Any tax decisions are made in a manner which is consistent with the ultimate Group’s strategy.</w:t>
      </w:r>
    </w:p>
    <w:p w14:paraId="5AA8AFD5" w14:textId="1C12175C" w:rsidR="00FC0F3D" w:rsidRPr="00EA715C" w:rsidRDefault="00FC0F3D">
      <w:pPr>
        <w:pStyle w:val="BodyText"/>
        <w:spacing w:before="1"/>
        <w:rPr>
          <w:sz w:val="35"/>
        </w:rPr>
      </w:pPr>
    </w:p>
    <w:p w14:paraId="146E6FF9" w14:textId="33BEE8BD" w:rsidR="00FC0F3D" w:rsidRPr="00EA715C" w:rsidRDefault="004C1C6A">
      <w:pPr>
        <w:pStyle w:val="Heading1"/>
        <w:spacing w:before="0"/>
      </w:pPr>
      <w:r w:rsidRPr="00EA715C">
        <w:rPr>
          <w:color w:val="00907E"/>
          <w:w w:val="80"/>
        </w:rPr>
        <w:t>Tax</w:t>
      </w:r>
      <w:r w:rsidRPr="00EA715C">
        <w:rPr>
          <w:color w:val="00907E"/>
          <w:spacing w:val="7"/>
          <w:w w:val="80"/>
        </w:rPr>
        <w:t xml:space="preserve"> </w:t>
      </w:r>
      <w:r w:rsidRPr="00EA715C">
        <w:rPr>
          <w:color w:val="00907E"/>
          <w:w w:val="80"/>
        </w:rPr>
        <w:t>objectives</w:t>
      </w:r>
    </w:p>
    <w:p w14:paraId="6BCA6504" w14:textId="20F6FC61" w:rsidR="00FC0F3D" w:rsidRPr="00EA715C" w:rsidRDefault="004C1C6A" w:rsidP="00EA715C">
      <w:pPr>
        <w:pStyle w:val="BodyText"/>
        <w:spacing w:before="125" w:line="249" w:lineRule="auto"/>
        <w:ind w:left="673" w:right="1139"/>
        <w:rPr>
          <w:color w:val="231F20"/>
          <w:w w:val="80"/>
        </w:rPr>
      </w:pPr>
      <w:r w:rsidRPr="00EA715C">
        <w:rPr>
          <w:color w:val="231F20"/>
          <w:w w:val="80"/>
        </w:rPr>
        <w:t xml:space="preserve">This Tax Strategy is in place </w:t>
      </w:r>
      <w:proofErr w:type="gramStart"/>
      <w:r w:rsidRPr="00EA715C">
        <w:rPr>
          <w:color w:val="231F20"/>
          <w:w w:val="80"/>
        </w:rPr>
        <w:t>in order to</w:t>
      </w:r>
      <w:proofErr w:type="gramEnd"/>
      <w:r w:rsidRPr="00EA715C">
        <w:rPr>
          <w:color w:val="231F20"/>
          <w:w w:val="80"/>
        </w:rPr>
        <w:t xml:space="preserve"> meet the following core tax objectives:</w:t>
      </w:r>
    </w:p>
    <w:p w14:paraId="4E92482F" w14:textId="27933E98"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Implementing and maintaining controls and procedures relating to all </w:t>
      </w:r>
      <w:proofErr w:type="gramStart"/>
      <w:r w:rsidRPr="00EA715C">
        <w:rPr>
          <w:color w:val="231F20"/>
          <w:w w:val="80"/>
        </w:rPr>
        <w:t>taxes;</w:t>
      </w:r>
      <w:proofErr w:type="gramEnd"/>
    </w:p>
    <w:p w14:paraId="5CE8051F" w14:textId="5550E804"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Ensure compliance with all legal requirements and to make all appropriate tax returns and tax payments within </w:t>
      </w:r>
      <w:proofErr w:type="gramStart"/>
      <w:r w:rsidRPr="00EA715C">
        <w:rPr>
          <w:color w:val="231F20"/>
          <w:w w:val="80"/>
        </w:rPr>
        <w:t>deadlines;</w:t>
      </w:r>
      <w:proofErr w:type="gramEnd"/>
    </w:p>
    <w:p w14:paraId="4C194C21" w14:textId="77777777"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Seek to utilise available tax reliefs and incentives where available in a manner which is consistent with the government’s policy </w:t>
      </w:r>
      <w:proofErr w:type="gramStart"/>
      <w:r w:rsidRPr="00EA715C">
        <w:rPr>
          <w:color w:val="231F20"/>
          <w:w w:val="80"/>
        </w:rPr>
        <w:t>objectives;</w:t>
      </w:r>
      <w:proofErr w:type="gramEnd"/>
    </w:p>
    <w:p w14:paraId="018A6DFA" w14:textId="461C93E3" w:rsidR="00FC0F3D" w:rsidRPr="00EA715C" w:rsidRDefault="004C1C6A" w:rsidP="00EA715C">
      <w:pPr>
        <w:pStyle w:val="BodyText"/>
        <w:numPr>
          <w:ilvl w:val="0"/>
          <w:numId w:val="3"/>
        </w:numPr>
        <w:spacing w:before="125" w:line="249" w:lineRule="auto"/>
        <w:ind w:right="1139"/>
        <w:rPr>
          <w:color w:val="231F20"/>
          <w:w w:val="80"/>
        </w:rPr>
      </w:pPr>
      <w:r w:rsidRPr="00EA715C">
        <w:rPr>
          <w:color w:val="231F20"/>
          <w:w w:val="80"/>
        </w:rPr>
        <w:t xml:space="preserve">Consider and manage tax risks </w:t>
      </w:r>
      <w:proofErr w:type="gramStart"/>
      <w:r w:rsidRPr="00EA715C">
        <w:rPr>
          <w:color w:val="231F20"/>
          <w:w w:val="80"/>
        </w:rPr>
        <w:t>in order to</w:t>
      </w:r>
      <w:proofErr w:type="gramEnd"/>
      <w:r w:rsidRPr="00EA715C">
        <w:rPr>
          <w:color w:val="231F20"/>
          <w:w w:val="80"/>
        </w:rPr>
        <w:t xml:space="preserve"> maintain a strong reputation and brand.</w:t>
      </w:r>
    </w:p>
    <w:p w14:paraId="36A9B715" w14:textId="77777777" w:rsidR="00FC0F3D" w:rsidRPr="00EA715C" w:rsidRDefault="00FC0F3D">
      <w:pPr>
        <w:rPr>
          <w:sz w:val="24"/>
        </w:rPr>
        <w:sectPr w:rsidR="00FC0F3D" w:rsidRPr="00EA715C">
          <w:footerReference w:type="default" r:id="rId13"/>
          <w:pgSz w:w="11910" w:h="16840"/>
          <w:pgMar w:top="1000" w:right="400" w:bottom="1260" w:left="460" w:header="0" w:footer="1074" w:gutter="0"/>
          <w:pgNumType w:start="1"/>
          <w:cols w:space="720"/>
        </w:sectPr>
      </w:pPr>
    </w:p>
    <w:p w14:paraId="27E1815D" w14:textId="746D3F0E" w:rsidR="00FC0F3D" w:rsidRPr="00EA715C" w:rsidRDefault="004C1C6A">
      <w:pPr>
        <w:pStyle w:val="Heading1"/>
      </w:pPr>
      <w:r w:rsidRPr="00EA715C">
        <w:rPr>
          <w:color w:val="00907E"/>
          <w:w w:val="80"/>
        </w:rPr>
        <w:lastRenderedPageBreak/>
        <w:t>Risk</w:t>
      </w:r>
      <w:r w:rsidRPr="00EA715C">
        <w:rPr>
          <w:color w:val="00907E"/>
          <w:spacing w:val="26"/>
          <w:w w:val="80"/>
        </w:rPr>
        <w:t xml:space="preserve"> </w:t>
      </w:r>
      <w:r w:rsidRPr="00EA715C">
        <w:rPr>
          <w:color w:val="00907E"/>
          <w:w w:val="80"/>
        </w:rPr>
        <w:t>management</w:t>
      </w:r>
      <w:r w:rsidRPr="00EA715C">
        <w:rPr>
          <w:color w:val="00907E"/>
          <w:spacing w:val="26"/>
          <w:w w:val="80"/>
        </w:rPr>
        <w:t xml:space="preserve"> </w:t>
      </w:r>
      <w:r w:rsidRPr="00EA715C">
        <w:rPr>
          <w:color w:val="00907E"/>
          <w:w w:val="80"/>
        </w:rPr>
        <w:t>and</w:t>
      </w:r>
      <w:r w:rsidRPr="00EA715C">
        <w:rPr>
          <w:color w:val="00907E"/>
          <w:spacing w:val="26"/>
          <w:w w:val="80"/>
        </w:rPr>
        <w:t xml:space="preserve"> </w:t>
      </w:r>
      <w:r w:rsidRPr="00EA715C">
        <w:rPr>
          <w:color w:val="00907E"/>
          <w:w w:val="80"/>
        </w:rPr>
        <w:t>governance</w:t>
      </w:r>
      <w:r w:rsidRPr="00EA715C">
        <w:rPr>
          <w:color w:val="00907E"/>
          <w:spacing w:val="26"/>
          <w:w w:val="80"/>
        </w:rPr>
        <w:t xml:space="preserve"> </w:t>
      </w:r>
      <w:r w:rsidRPr="00EA715C">
        <w:rPr>
          <w:color w:val="00907E"/>
          <w:w w:val="80"/>
        </w:rPr>
        <w:t>arrangements</w:t>
      </w:r>
    </w:p>
    <w:p w14:paraId="112C9ED6"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 xml:space="preserve">The UK group is committed to ensuring that its tax affairs are open, </w:t>
      </w:r>
      <w:proofErr w:type="gramStart"/>
      <w:r w:rsidRPr="00EA715C">
        <w:rPr>
          <w:color w:val="231F20"/>
          <w:w w:val="80"/>
        </w:rPr>
        <w:t>transparent</w:t>
      </w:r>
      <w:proofErr w:type="gramEnd"/>
      <w:r w:rsidRPr="00EA715C">
        <w:rPr>
          <w:color w:val="231F20"/>
          <w:w w:val="80"/>
        </w:rPr>
        <w:t xml:space="preserve"> and compliant with tax legislation.</w:t>
      </w:r>
    </w:p>
    <w:p w14:paraId="77D6273E"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internal structure is set up to ensure the UK group portrays a positive view towards tax compliance and the importance of meeting its obligations.</w:t>
      </w:r>
    </w:p>
    <w:p w14:paraId="6DAC7BDE"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Specialist external tax advice is sought when required.</w:t>
      </w:r>
    </w:p>
    <w:p w14:paraId="0D18E7B7" w14:textId="77777777" w:rsidR="00FC0F3D" w:rsidRPr="00EA715C" w:rsidRDefault="00FC0F3D">
      <w:pPr>
        <w:pStyle w:val="BodyText"/>
        <w:rPr>
          <w:sz w:val="28"/>
        </w:rPr>
      </w:pPr>
    </w:p>
    <w:p w14:paraId="0F7E18E5" w14:textId="77777777" w:rsidR="00FC0F3D" w:rsidRPr="00EA715C" w:rsidRDefault="004C1C6A">
      <w:pPr>
        <w:pStyle w:val="Heading1"/>
        <w:spacing w:before="205"/>
      </w:pPr>
      <w:r w:rsidRPr="00EA715C">
        <w:rPr>
          <w:color w:val="00907E"/>
          <w:w w:val="80"/>
        </w:rPr>
        <w:t>Tax</w:t>
      </w:r>
      <w:r w:rsidRPr="00EA715C">
        <w:rPr>
          <w:color w:val="00907E"/>
          <w:spacing w:val="7"/>
          <w:w w:val="80"/>
        </w:rPr>
        <w:t xml:space="preserve"> </w:t>
      </w:r>
      <w:r w:rsidRPr="00EA715C">
        <w:rPr>
          <w:color w:val="00907E"/>
          <w:w w:val="80"/>
        </w:rPr>
        <w:t>planning</w:t>
      </w:r>
    </w:p>
    <w:p w14:paraId="738DD29E" w14:textId="77777777" w:rsidR="00FC0F3D" w:rsidRPr="00EA715C" w:rsidRDefault="004C1C6A">
      <w:pPr>
        <w:pStyle w:val="BodyText"/>
        <w:spacing w:before="125" w:line="249" w:lineRule="auto"/>
        <w:ind w:left="673" w:right="1139"/>
        <w:rPr>
          <w:color w:val="231F20"/>
          <w:w w:val="80"/>
        </w:rPr>
      </w:pPr>
      <w:r w:rsidRPr="00EA715C">
        <w:rPr>
          <w:color w:val="231F20"/>
          <w:w w:val="80"/>
        </w:rPr>
        <w:t xml:space="preserve">The UK group does not undertake aggressive or artificial tax planning, the sole purpose for which would be obtaining a tax advantage. The UK group undertakes tax decisions and planning as part of its overall business strategy and engages the services of professional advisers to assist with major or complex business decisions </w:t>
      </w:r>
      <w:proofErr w:type="gramStart"/>
      <w:r w:rsidRPr="00EA715C">
        <w:rPr>
          <w:color w:val="231F20"/>
          <w:w w:val="80"/>
        </w:rPr>
        <w:t>in order to</w:t>
      </w:r>
      <w:proofErr w:type="gramEnd"/>
      <w:r w:rsidRPr="00EA715C">
        <w:rPr>
          <w:color w:val="231F20"/>
          <w:w w:val="80"/>
        </w:rPr>
        <w:t xml:space="preserve"> fully understand any associated tax risks.</w:t>
      </w:r>
    </w:p>
    <w:p w14:paraId="22D5F7E7"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seeks to ensure that transactions are structured such that any tax reliefs or incentives available are realised in line with the intended tax legislation and only where there is a credible technical standing.</w:t>
      </w:r>
    </w:p>
    <w:p w14:paraId="0594202E" w14:textId="77777777" w:rsidR="00FC0F3D" w:rsidRPr="00EA715C" w:rsidRDefault="00FC0F3D">
      <w:pPr>
        <w:pStyle w:val="BodyText"/>
        <w:rPr>
          <w:sz w:val="28"/>
        </w:rPr>
      </w:pPr>
    </w:p>
    <w:p w14:paraId="1EA32E39" w14:textId="77777777" w:rsidR="00FC0F3D" w:rsidRPr="00EA715C" w:rsidRDefault="004C1C6A">
      <w:pPr>
        <w:pStyle w:val="Heading1"/>
        <w:spacing w:before="196"/>
        <w:jc w:val="both"/>
      </w:pPr>
      <w:r w:rsidRPr="00EA715C">
        <w:rPr>
          <w:color w:val="00907E"/>
          <w:w w:val="85"/>
        </w:rPr>
        <w:t>Attitude</w:t>
      </w:r>
      <w:r w:rsidRPr="00EA715C">
        <w:rPr>
          <w:color w:val="00907E"/>
          <w:spacing w:val="-4"/>
          <w:w w:val="85"/>
        </w:rPr>
        <w:t xml:space="preserve"> </w:t>
      </w:r>
      <w:r w:rsidRPr="00EA715C">
        <w:rPr>
          <w:color w:val="00907E"/>
          <w:w w:val="85"/>
        </w:rPr>
        <w:t>towards</w:t>
      </w:r>
      <w:r w:rsidRPr="00EA715C">
        <w:rPr>
          <w:color w:val="00907E"/>
          <w:spacing w:val="-3"/>
          <w:w w:val="85"/>
        </w:rPr>
        <w:t xml:space="preserve"> </w:t>
      </w:r>
      <w:r w:rsidRPr="00EA715C">
        <w:rPr>
          <w:color w:val="00907E"/>
          <w:w w:val="85"/>
        </w:rPr>
        <w:t>risk</w:t>
      </w:r>
    </w:p>
    <w:p w14:paraId="75310C4F"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 xml:space="preserve">Tax risks identified are communicated to the finance and tax teams in order that they may be appropriately managed. There is no one level of risk that the UK group is prepared to accept but each is considered on a </w:t>
      </w:r>
      <w:proofErr w:type="gramStart"/>
      <w:r w:rsidRPr="00EA715C">
        <w:rPr>
          <w:color w:val="231F20"/>
          <w:w w:val="80"/>
        </w:rPr>
        <w:t>case by case</w:t>
      </w:r>
      <w:proofErr w:type="gramEnd"/>
      <w:r w:rsidRPr="00EA715C">
        <w:rPr>
          <w:color w:val="231F20"/>
          <w:w w:val="80"/>
        </w:rPr>
        <w:t xml:space="preserve"> basis having taken into consideration all available facts and information.</w:t>
      </w:r>
    </w:p>
    <w:p w14:paraId="75B2171A"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has close relationships with professional advisers that allows it to seek expert advice where necessary which in turn aids compliance.</w:t>
      </w:r>
    </w:p>
    <w:p w14:paraId="4C2D2992" w14:textId="77777777" w:rsidR="00FC0F3D" w:rsidRPr="00EA715C" w:rsidRDefault="004C1C6A" w:rsidP="00EA715C">
      <w:pPr>
        <w:pStyle w:val="BodyText"/>
        <w:spacing w:before="125" w:line="249" w:lineRule="auto"/>
        <w:ind w:left="673" w:right="1139"/>
        <w:rPr>
          <w:color w:val="231F20"/>
          <w:w w:val="80"/>
        </w:rPr>
      </w:pPr>
      <w:r w:rsidRPr="00EA715C">
        <w:rPr>
          <w:color w:val="231F20"/>
          <w:w w:val="80"/>
        </w:rPr>
        <w:t>The UK group is conscious of the potential adverse publicity that a negative tax attitude can bring and seeks to minimise any reputational damage through the actions set out in this Tax Strategy.</w:t>
      </w:r>
    </w:p>
    <w:p w14:paraId="7BA099E1" w14:textId="77777777" w:rsidR="00FC0F3D" w:rsidRPr="00EA715C" w:rsidRDefault="00FC0F3D">
      <w:pPr>
        <w:pStyle w:val="BodyText"/>
        <w:rPr>
          <w:sz w:val="28"/>
        </w:rPr>
      </w:pPr>
    </w:p>
    <w:p w14:paraId="5B3C56C1" w14:textId="77777777" w:rsidR="00FC0F3D" w:rsidRPr="00EA715C" w:rsidRDefault="004C1C6A">
      <w:pPr>
        <w:pStyle w:val="Heading1"/>
        <w:spacing w:before="194"/>
      </w:pPr>
      <w:r w:rsidRPr="00EA715C">
        <w:rPr>
          <w:color w:val="00907E"/>
          <w:w w:val="80"/>
        </w:rPr>
        <w:t>Relationship</w:t>
      </w:r>
      <w:r w:rsidRPr="00EA715C">
        <w:rPr>
          <w:color w:val="00907E"/>
          <w:spacing w:val="13"/>
          <w:w w:val="80"/>
        </w:rPr>
        <w:t xml:space="preserve"> </w:t>
      </w:r>
      <w:r w:rsidRPr="00EA715C">
        <w:rPr>
          <w:color w:val="00907E"/>
          <w:w w:val="80"/>
        </w:rPr>
        <w:t>with</w:t>
      </w:r>
      <w:r w:rsidRPr="00EA715C">
        <w:rPr>
          <w:color w:val="00907E"/>
          <w:spacing w:val="14"/>
          <w:w w:val="80"/>
        </w:rPr>
        <w:t xml:space="preserve"> </w:t>
      </w:r>
      <w:r w:rsidRPr="00EA715C">
        <w:rPr>
          <w:color w:val="00907E"/>
          <w:w w:val="80"/>
        </w:rPr>
        <w:t>HMRC</w:t>
      </w:r>
    </w:p>
    <w:p w14:paraId="34D91A6F" w14:textId="77777777" w:rsidR="00FC0F3D" w:rsidRPr="00EA715C" w:rsidRDefault="004C1C6A">
      <w:pPr>
        <w:pStyle w:val="BodyText"/>
        <w:spacing w:before="126" w:line="249" w:lineRule="auto"/>
        <w:ind w:left="673" w:right="1157"/>
      </w:pPr>
      <w:r w:rsidRPr="00EA715C">
        <w:rPr>
          <w:color w:val="231F20"/>
          <w:w w:val="80"/>
        </w:rPr>
        <w:t>The</w:t>
      </w:r>
      <w:r w:rsidRPr="00EA715C">
        <w:rPr>
          <w:color w:val="231F20"/>
          <w:spacing w:val="20"/>
          <w:w w:val="80"/>
        </w:rPr>
        <w:t xml:space="preserve"> </w:t>
      </w:r>
      <w:r w:rsidRPr="00EA715C">
        <w:rPr>
          <w:color w:val="231F20"/>
          <w:w w:val="80"/>
        </w:rPr>
        <w:t>UK</w:t>
      </w:r>
      <w:r w:rsidRPr="00EA715C">
        <w:rPr>
          <w:color w:val="231F20"/>
          <w:spacing w:val="21"/>
          <w:w w:val="80"/>
        </w:rPr>
        <w:t xml:space="preserve"> </w:t>
      </w:r>
      <w:r w:rsidRPr="00EA715C">
        <w:rPr>
          <w:color w:val="231F20"/>
          <w:w w:val="80"/>
        </w:rPr>
        <w:t>group</w:t>
      </w:r>
      <w:r w:rsidRPr="00EA715C">
        <w:rPr>
          <w:color w:val="231F20"/>
          <w:spacing w:val="20"/>
          <w:w w:val="80"/>
        </w:rPr>
        <w:t xml:space="preserve"> </w:t>
      </w:r>
      <w:r w:rsidRPr="00EA715C">
        <w:rPr>
          <w:color w:val="231F20"/>
          <w:w w:val="80"/>
        </w:rPr>
        <w:t>is</w:t>
      </w:r>
      <w:r w:rsidRPr="00EA715C">
        <w:rPr>
          <w:color w:val="231F20"/>
          <w:spacing w:val="21"/>
          <w:w w:val="80"/>
        </w:rPr>
        <w:t xml:space="preserve"> </w:t>
      </w:r>
      <w:r w:rsidRPr="00EA715C">
        <w:rPr>
          <w:color w:val="231F20"/>
          <w:w w:val="80"/>
        </w:rPr>
        <w:t>committed</w:t>
      </w:r>
      <w:r w:rsidRPr="00EA715C">
        <w:rPr>
          <w:color w:val="231F20"/>
          <w:spacing w:val="21"/>
          <w:w w:val="80"/>
        </w:rPr>
        <w:t xml:space="preserve"> </w:t>
      </w:r>
      <w:r w:rsidRPr="00EA715C">
        <w:rPr>
          <w:color w:val="231F20"/>
          <w:w w:val="80"/>
        </w:rPr>
        <w:t>to</w:t>
      </w:r>
      <w:r w:rsidRPr="00EA715C">
        <w:rPr>
          <w:color w:val="231F20"/>
          <w:spacing w:val="20"/>
          <w:w w:val="80"/>
        </w:rPr>
        <w:t xml:space="preserve"> </w:t>
      </w:r>
      <w:r w:rsidRPr="00EA715C">
        <w:rPr>
          <w:color w:val="231F20"/>
          <w:w w:val="80"/>
        </w:rPr>
        <w:t>the</w:t>
      </w:r>
      <w:r w:rsidRPr="00EA715C">
        <w:rPr>
          <w:color w:val="231F20"/>
          <w:spacing w:val="21"/>
          <w:w w:val="80"/>
        </w:rPr>
        <w:t xml:space="preserve"> </w:t>
      </w:r>
      <w:r w:rsidRPr="00EA715C">
        <w:rPr>
          <w:color w:val="231F20"/>
          <w:w w:val="80"/>
        </w:rPr>
        <w:t>principles</w:t>
      </w:r>
      <w:r w:rsidRPr="00EA715C">
        <w:rPr>
          <w:color w:val="231F20"/>
          <w:spacing w:val="20"/>
          <w:w w:val="80"/>
        </w:rPr>
        <w:t xml:space="preserve"> </w:t>
      </w:r>
      <w:r w:rsidRPr="00EA715C">
        <w:rPr>
          <w:color w:val="231F20"/>
          <w:w w:val="80"/>
        </w:rPr>
        <w:t>of</w:t>
      </w:r>
      <w:r w:rsidRPr="00EA715C">
        <w:rPr>
          <w:color w:val="231F20"/>
          <w:spacing w:val="21"/>
          <w:w w:val="80"/>
        </w:rPr>
        <w:t xml:space="preserve"> </w:t>
      </w:r>
      <w:r w:rsidRPr="00EA715C">
        <w:rPr>
          <w:color w:val="231F20"/>
          <w:w w:val="80"/>
        </w:rPr>
        <w:t>openness</w:t>
      </w:r>
      <w:r w:rsidRPr="00EA715C">
        <w:rPr>
          <w:color w:val="231F20"/>
          <w:spacing w:val="21"/>
          <w:w w:val="80"/>
        </w:rPr>
        <w:t xml:space="preserve"> </w:t>
      </w:r>
      <w:r w:rsidRPr="00EA715C">
        <w:rPr>
          <w:color w:val="231F20"/>
          <w:w w:val="80"/>
        </w:rPr>
        <w:t>and</w:t>
      </w:r>
      <w:r w:rsidRPr="00EA715C">
        <w:rPr>
          <w:color w:val="231F20"/>
          <w:spacing w:val="20"/>
          <w:w w:val="80"/>
        </w:rPr>
        <w:t xml:space="preserve"> </w:t>
      </w:r>
      <w:r w:rsidRPr="00EA715C">
        <w:rPr>
          <w:color w:val="231F20"/>
          <w:w w:val="80"/>
        </w:rPr>
        <w:t>transparency</w:t>
      </w:r>
      <w:r w:rsidRPr="00EA715C">
        <w:rPr>
          <w:color w:val="231F20"/>
          <w:spacing w:val="21"/>
          <w:w w:val="80"/>
        </w:rPr>
        <w:t xml:space="preserve"> </w:t>
      </w:r>
      <w:r w:rsidRPr="00EA715C">
        <w:rPr>
          <w:color w:val="231F20"/>
          <w:w w:val="80"/>
        </w:rPr>
        <w:t>in</w:t>
      </w:r>
      <w:r w:rsidRPr="00EA715C">
        <w:rPr>
          <w:color w:val="231F20"/>
          <w:spacing w:val="20"/>
          <w:w w:val="80"/>
        </w:rPr>
        <w:t xml:space="preserve"> </w:t>
      </w:r>
      <w:r w:rsidRPr="00EA715C">
        <w:rPr>
          <w:color w:val="231F20"/>
          <w:w w:val="80"/>
        </w:rPr>
        <w:t>its</w:t>
      </w:r>
      <w:r w:rsidRPr="00EA715C">
        <w:rPr>
          <w:color w:val="231F20"/>
          <w:spacing w:val="21"/>
          <w:w w:val="80"/>
        </w:rPr>
        <w:t xml:space="preserve"> </w:t>
      </w:r>
      <w:r w:rsidRPr="00EA715C">
        <w:rPr>
          <w:color w:val="231F20"/>
          <w:w w:val="80"/>
        </w:rPr>
        <w:t>approach</w:t>
      </w:r>
      <w:r w:rsidRPr="00EA715C">
        <w:rPr>
          <w:color w:val="231F20"/>
          <w:spacing w:val="21"/>
          <w:w w:val="80"/>
        </w:rPr>
        <w:t xml:space="preserve"> </w:t>
      </w:r>
      <w:r w:rsidRPr="00EA715C">
        <w:rPr>
          <w:color w:val="231F20"/>
          <w:w w:val="80"/>
        </w:rPr>
        <w:t>to</w:t>
      </w:r>
      <w:r w:rsidRPr="00EA715C">
        <w:rPr>
          <w:color w:val="231F20"/>
          <w:spacing w:val="20"/>
          <w:w w:val="80"/>
        </w:rPr>
        <w:t xml:space="preserve"> </w:t>
      </w:r>
      <w:r w:rsidRPr="00EA715C">
        <w:rPr>
          <w:color w:val="231F20"/>
          <w:w w:val="80"/>
        </w:rPr>
        <w:t>dealing</w:t>
      </w:r>
      <w:r w:rsidRPr="00EA715C">
        <w:rPr>
          <w:color w:val="231F20"/>
          <w:spacing w:val="1"/>
          <w:w w:val="80"/>
        </w:rPr>
        <w:t xml:space="preserve"> </w:t>
      </w:r>
      <w:r w:rsidRPr="00EA715C">
        <w:rPr>
          <w:color w:val="231F20"/>
          <w:w w:val="80"/>
        </w:rPr>
        <w:t>with</w:t>
      </w:r>
      <w:r w:rsidRPr="00EA715C">
        <w:rPr>
          <w:color w:val="231F20"/>
          <w:spacing w:val="20"/>
          <w:w w:val="80"/>
        </w:rPr>
        <w:t xml:space="preserve"> </w:t>
      </w:r>
      <w:r w:rsidRPr="00EA715C">
        <w:rPr>
          <w:color w:val="231F20"/>
          <w:w w:val="80"/>
        </w:rPr>
        <w:t>HMRC.</w:t>
      </w:r>
      <w:r w:rsidRPr="00EA715C">
        <w:rPr>
          <w:color w:val="231F20"/>
          <w:spacing w:val="-1"/>
          <w:w w:val="80"/>
        </w:rPr>
        <w:t xml:space="preserve"> </w:t>
      </w:r>
      <w:r w:rsidRPr="00EA715C">
        <w:rPr>
          <w:color w:val="231F20"/>
          <w:w w:val="80"/>
        </w:rPr>
        <w:t>The</w:t>
      </w:r>
      <w:r w:rsidRPr="00EA715C">
        <w:rPr>
          <w:color w:val="231F20"/>
          <w:spacing w:val="21"/>
          <w:w w:val="80"/>
        </w:rPr>
        <w:t xml:space="preserve"> </w:t>
      </w:r>
      <w:r w:rsidRPr="00EA715C">
        <w:rPr>
          <w:color w:val="231F20"/>
          <w:w w:val="80"/>
        </w:rPr>
        <w:t>UK</w:t>
      </w:r>
      <w:r w:rsidRPr="00EA715C">
        <w:rPr>
          <w:color w:val="231F20"/>
          <w:spacing w:val="21"/>
          <w:w w:val="80"/>
        </w:rPr>
        <w:t xml:space="preserve"> </w:t>
      </w:r>
      <w:r w:rsidRPr="00EA715C">
        <w:rPr>
          <w:color w:val="231F20"/>
          <w:w w:val="80"/>
        </w:rPr>
        <w:t>group</w:t>
      </w:r>
      <w:r w:rsidRPr="00EA715C">
        <w:rPr>
          <w:color w:val="231F20"/>
          <w:spacing w:val="21"/>
          <w:w w:val="80"/>
        </w:rPr>
        <w:t xml:space="preserve"> </w:t>
      </w:r>
      <w:r w:rsidRPr="00EA715C">
        <w:rPr>
          <w:color w:val="231F20"/>
          <w:w w:val="80"/>
        </w:rPr>
        <w:t>seeks</w:t>
      </w:r>
      <w:r w:rsidRPr="00EA715C">
        <w:rPr>
          <w:color w:val="231F20"/>
          <w:spacing w:val="21"/>
          <w:w w:val="80"/>
        </w:rPr>
        <w:t xml:space="preserve"> </w:t>
      </w:r>
      <w:r w:rsidRPr="00EA715C">
        <w:rPr>
          <w:color w:val="231F20"/>
          <w:w w:val="80"/>
        </w:rPr>
        <w:t>to</w:t>
      </w:r>
      <w:r w:rsidRPr="00EA715C">
        <w:rPr>
          <w:color w:val="231F20"/>
          <w:spacing w:val="21"/>
          <w:w w:val="80"/>
        </w:rPr>
        <w:t xml:space="preserve"> </w:t>
      </w:r>
      <w:r w:rsidRPr="00EA715C">
        <w:rPr>
          <w:color w:val="231F20"/>
          <w:w w:val="80"/>
        </w:rPr>
        <w:t>promote</w:t>
      </w:r>
      <w:r w:rsidRPr="00EA715C">
        <w:rPr>
          <w:color w:val="231F20"/>
          <w:spacing w:val="20"/>
          <w:w w:val="80"/>
        </w:rPr>
        <w:t xml:space="preserve"> </w:t>
      </w:r>
      <w:r w:rsidRPr="00EA715C">
        <w:rPr>
          <w:color w:val="231F20"/>
          <w:w w:val="80"/>
        </w:rPr>
        <w:t>a</w:t>
      </w:r>
      <w:r w:rsidRPr="00EA715C">
        <w:rPr>
          <w:color w:val="231F20"/>
          <w:spacing w:val="21"/>
          <w:w w:val="80"/>
        </w:rPr>
        <w:t xml:space="preserve"> </w:t>
      </w:r>
      <w:r w:rsidRPr="00EA715C">
        <w:rPr>
          <w:color w:val="231F20"/>
          <w:w w:val="80"/>
        </w:rPr>
        <w:t>professional</w:t>
      </w:r>
      <w:r w:rsidRPr="00EA715C">
        <w:rPr>
          <w:color w:val="231F20"/>
          <w:spacing w:val="21"/>
          <w:w w:val="80"/>
        </w:rPr>
        <w:t xml:space="preserve"> </w:t>
      </w:r>
      <w:r w:rsidRPr="00EA715C">
        <w:rPr>
          <w:color w:val="231F20"/>
          <w:w w:val="80"/>
        </w:rPr>
        <w:t>and</w:t>
      </w:r>
      <w:r w:rsidRPr="00EA715C">
        <w:rPr>
          <w:color w:val="231F20"/>
          <w:spacing w:val="21"/>
          <w:w w:val="80"/>
        </w:rPr>
        <w:t xml:space="preserve"> </w:t>
      </w:r>
      <w:r w:rsidRPr="00EA715C">
        <w:rPr>
          <w:color w:val="231F20"/>
          <w:w w:val="80"/>
        </w:rPr>
        <w:t>collaborative</w:t>
      </w:r>
      <w:r w:rsidRPr="00EA715C">
        <w:rPr>
          <w:color w:val="231F20"/>
          <w:spacing w:val="21"/>
          <w:w w:val="80"/>
        </w:rPr>
        <w:t xml:space="preserve"> </w:t>
      </w:r>
      <w:r w:rsidRPr="00EA715C">
        <w:rPr>
          <w:color w:val="231F20"/>
          <w:w w:val="80"/>
        </w:rPr>
        <w:t>relationship</w:t>
      </w:r>
      <w:r w:rsidRPr="00EA715C">
        <w:rPr>
          <w:color w:val="231F20"/>
          <w:spacing w:val="21"/>
          <w:w w:val="80"/>
        </w:rPr>
        <w:t xml:space="preserve"> </w:t>
      </w:r>
      <w:r w:rsidRPr="00EA715C">
        <w:rPr>
          <w:color w:val="231F20"/>
          <w:w w:val="80"/>
        </w:rPr>
        <w:t>which</w:t>
      </w:r>
      <w:r w:rsidRPr="00EA715C">
        <w:rPr>
          <w:color w:val="231F20"/>
          <w:spacing w:val="21"/>
          <w:w w:val="80"/>
        </w:rPr>
        <w:t xml:space="preserve"> </w:t>
      </w:r>
      <w:r w:rsidRPr="00EA715C">
        <w:rPr>
          <w:color w:val="231F20"/>
          <w:w w:val="80"/>
        </w:rPr>
        <w:t>is</w:t>
      </w:r>
      <w:r w:rsidRPr="00EA715C">
        <w:rPr>
          <w:color w:val="231F20"/>
          <w:spacing w:val="21"/>
          <w:w w:val="80"/>
        </w:rPr>
        <w:t xml:space="preserve"> </w:t>
      </w:r>
      <w:r w:rsidRPr="00EA715C">
        <w:rPr>
          <w:color w:val="231F20"/>
          <w:w w:val="80"/>
        </w:rPr>
        <w:t>based</w:t>
      </w:r>
      <w:r w:rsidRPr="00EA715C">
        <w:rPr>
          <w:color w:val="231F20"/>
          <w:spacing w:val="-51"/>
          <w:w w:val="80"/>
        </w:rPr>
        <w:t xml:space="preserve"> </w:t>
      </w:r>
      <w:r w:rsidRPr="00EA715C">
        <w:rPr>
          <w:color w:val="231F20"/>
          <w:w w:val="80"/>
        </w:rPr>
        <w:t>on principles of transparency and justified trust and to make fair, accurate and timely disclosure in correspondence and returns, and respond to queries and information requests openly and honestly in a timely fashion.</w:t>
      </w:r>
    </w:p>
    <w:sectPr w:rsidR="00FC0F3D" w:rsidRPr="00EA715C">
      <w:pgSz w:w="11910" w:h="16840"/>
      <w:pgMar w:top="1000" w:right="400" w:bottom="1320" w:left="46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3621" w14:textId="77777777" w:rsidR="00FC351C" w:rsidRDefault="00FC351C">
      <w:r>
        <w:separator/>
      </w:r>
    </w:p>
  </w:endnote>
  <w:endnote w:type="continuationSeparator" w:id="0">
    <w:p w14:paraId="0D0CE772" w14:textId="77777777" w:rsidR="00FC351C" w:rsidRDefault="00FC351C">
      <w:r>
        <w:continuationSeparator/>
      </w:r>
    </w:p>
  </w:endnote>
  <w:endnote w:type="continuationNotice" w:id="1">
    <w:p w14:paraId="001D9AD7" w14:textId="77777777" w:rsidR="00FC351C" w:rsidRDefault="00FC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EDC7" w14:textId="2BEFA539" w:rsidR="00FC0F3D" w:rsidRDefault="009655C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7D1F14A" wp14:editId="6D31D61A">
              <wp:simplePos x="0" y="0"/>
              <wp:positionH relativeFrom="page">
                <wp:posOffset>6536690</wp:posOffset>
              </wp:positionH>
              <wp:positionV relativeFrom="page">
                <wp:posOffset>9834245</wp:posOffset>
              </wp:positionV>
              <wp:extent cx="341630" cy="193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60A6" w14:textId="77777777" w:rsidR="00FC0F3D" w:rsidRDefault="004C1C6A">
                          <w:pPr>
                            <w:spacing w:before="75"/>
                            <w:ind w:left="20"/>
                            <w:rPr>
                              <w:sz w:val="18"/>
                            </w:rPr>
                          </w:pPr>
                          <w:r>
                            <w:rPr>
                              <w:color w:val="231F20"/>
                              <w:w w:val="80"/>
                              <w:sz w:val="18"/>
                            </w:rPr>
                            <w:t>Page</w:t>
                          </w:r>
                          <w:r>
                            <w:rPr>
                              <w:color w:val="231F20"/>
                              <w:spacing w:val="1"/>
                              <w:w w:val="80"/>
                              <w:sz w:val="18"/>
                            </w:rPr>
                            <w:t xml:space="preserve"> </w:t>
                          </w:r>
                          <w:r>
                            <w:fldChar w:fldCharType="begin"/>
                          </w:r>
                          <w:r>
                            <w:rPr>
                              <w:color w:val="231F20"/>
                              <w:w w:val="80"/>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1F14A" id="_x0000_t202" coordsize="21600,21600" o:spt="202" path="m,l,21600r21600,l21600,xe">
              <v:stroke joinstyle="miter"/>
              <v:path gradientshapeok="t" o:connecttype="rect"/>
            </v:shapetype>
            <v:shape id="Text Box 2" o:spid="_x0000_s1026" type="#_x0000_t202" style="position:absolute;margin-left:514.7pt;margin-top:774.35pt;width:26.9pt;height:1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" filled="f" stroked="f">
              <v:textbox inset="0,0,0,0">
                <w:txbxContent>
                  <w:p w14:paraId="6C2260A6" w14:textId="77777777" w:rsidR="00FC0F3D" w:rsidRDefault="004C1C6A">
                    <w:pPr>
                      <w:spacing w:before="75"/>
                      <w:ind w:left="20"/>
                      <w:rPr>
                        <w:sz w:val="18"/>
                      </w:rPr>
                    </w:pPr>
                    <w:r>
                      <w:rPr>
                        <w:color w:val="231F20"/>
                        <w:w w:val="80"/>
                        <w:sz w:val="18"/>
                      </w:rPr>
                      <w:t>Page</w:t>
                    </w:r>
                    <w:r>
                      <w:rPr>
                        <w:color w:val="231F20"/>
                        <w:spacing w:val="1"/>
                        <w:w w:val="80"/>
                        <w:sz w:val="18"/>
                      </w:rPr>
                      <w:t xml:space="preserve"> </w:t>
                    </w:r>
                    <w:r>
                      <w:fldChar w:fldCharType="begin"/>
                    </w:r>
                    <w:r>
                      <w:rPr>
                        <w:color w:val="231F20"/>
                        <w:w w:val="80"/>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5231" w14:textId="77777777" w:rsidR="00FC351C" w:rsidRDefault="00FC351C">
      <w:r>
        <w:separator/>
      </w:r>
    </w:p>
  </w:footnote>
  <w:footnote w:type="continuationSeparator" w:id="0">
    <w:p w14:paraId="08880649" w14:textId="77777777" w:rsidR="00FC351C" w:rsidRDefault="00FC351C">
      <w:r>
        <w:continuationSeparator/>
      </w:r>
    </w:p>
  </w:footnote>
  <w:footnote w:type="continuationNotice" w:id="1">
    <w:p w14:paraId="1074DB72" w14:textId="77777777" w:rsidR="00FC351C" w:rsidRDefault="00FC3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13CA"/>
    <w:multiLevelType w:val="hybridMultilevel"/>
    <w:tmpl w:val="ADB0D57C"/>
    <w:lvl w:ilvl="0" w:tplc="08090001">
      <w:start w:val="1"/>
      <w:numFmt w:val="bullet"/>
      <w:lvlText w:val=""/>
      <w:lvlJc w:val="left"/>
      <w:pPr>
        <w:ind w:left="1393" w:hanging="360"/>
      </w:pPr>
      <w:rPr>
        <w:rFonts w:ascii="Symbol" w:hAnsi="Symbol" w:hint="default"/>
      </w:rPr>
    </w:lvl>
    <w:lvl w:ilvl="1" w:tplc="08090003" w:tentative="1">
      <w:start w:val="1"/>
      <w:numFmt w:val="bullet"/>
      <w:lvlText w:val="o"/>
      <w:lvlJc w:val="left"/>
      <w:pPr>
        <w:ind w:left="2113" w:hanging="360"/>
      </w:pPr>
      <w:rPr>
        <w:rFonts w:ascii="Courier New" w:hAnsi="Courier New" w:cs="Courier New" w:hint="default"/>
      </w:rPr>
    </w:lvl>
    <w:lvl w:ilvl="2" w:tplc="08090005" w:tentative="1">
      <w:start w:val="1"/>
      <w:numFmt w:val="bullet"/>
      <w:lvlText w:val=""/>
      <w:lvlJc w:val="left"/>
      <w:pPr>
        <w:ind w:left="2833" w:hanging="360"/>
      </w:pPr>
      <w:rPr>
        <w:rFonts w:ascii="Wingdings" w:hAnsi="Wingdings" w:hint="default"/>
      </w:rPr>
    </w:lvl>
    <w:lvl w:ilvl="3" w:tplc="08090001" w:tentative="1">
      <w:start w:val="1"/>
      <w:numFmt w:val="bullet"/>
      <w:lvlText w:val=""/>
      <w:lvlJc w:val="left"/>
      <w:pPr>
        <w:ind w:left="3553" w:hanging="360"/>
      </w:pPr>
      <w:rPr>
        <w:rFonts w:ascii="Symbol" w:hAnsi="Symbol" w:hint="default"/>
      </w:rPr>
    </w:lvl>
    <w:lvl w:ilvl="4" w:tplc="08090003" w:tentative="1">
      <w:start w:val="1"/>
      <w:numFmt w:val="bullet"/>
      <w:lvlText w:val="o"/>
      <w:lvlJc w:val="left"/>
      <w:pPr>
        <w:ind w:left="4273" w:hanging="360"/>
      </w:pPr>
      <w:rPr>
        <w:rFonts w:ascii="Courier New" w:hAnsi="Courier New" w:cs="Courier New" w:hint="default"/>
      </w:rPr>
    </w:lvl>
    <w:lvl w:ilvl="5" w:tplc="08090005" w:tentative="1">
      <w:start w:val="1"/>
      <w:numFmt w:val="bullet"/>
      <w:lvlText w:val=""/>
      <w:lvlJc w:val="left"/>
      <w:pPr>
        <w:ind w:left="4993" w:hanging="360"/>
      </w:pPr>
      <w:rPr>
        <w:rFonts w:ascii="Wingdings" w:hAnsi="Wingdings" w:hint="default"/>
      </w:rPr>
    </w:lvl>
    <w:lvl w:ilvl="6" w:tplc="08090001" w:tentative="1">
      <w:start w:val="1"/>
      <w:numFmt w:val="bullet"/>
      <w:lvlText w:val=""/>
      <w:lvlJc w:val="left"/>
      <w:pPr>
        <w:ind w:left="5713" w:hanging="360"/>
      </w:pPr>
      <w:rPr>
        <w:rFonts w:ascii="Symbol" w:hAnsi="Symbol" w:hint="default"/>
      </w:rPr>
    </w:lvl>
    <w:lvl w:ilvl="7" w:tplc="08090003" w:tentative="1">
      <w:start w:val="1"/>
      <w:numFmt w:val="bullet"/>
      <w:lvlText w:val="o"/>
      <w:lvlJc w:val="left"/>
      <w:pPr>
        <w:ind w:left="6433" w:hanging="360"/>
      </w:pPr>
      <w:rPr>
        <w:rFonts w:ascii="Courier New" w:hAnsi="Courier New" w:cs="Courier New" w:hint="default"/>
      </w:rPr>
    </w:lvl>
    <w:lvl w:ilvl="8" w:tplc="08090005" w:tentative="1">
      <w:start w:val="1"/>
      <w:numFmt w:val="bullet"/>
      <w:lvlText w:val=""/>
      <w:lvlJc w:val="left"/>
      <w:pPr>
        <w:ind w:left="7153" w:hanging="360"/>
      </w:pPr>
      <w:rPr>
        <w:rFonts w:ascii="Wingdings" w:hAnsi="Wingdings" w:hint="default"/>
      </w:rPr>
    </w:lvl>
  </w:abstractNum>
  <w:abstractNum w:abstractNumId="1" w15:restartNumberingAfterBreak="0">
    <w:nsid w:val="37101F0C"/>
    <w:multiLevelType w:val="hybridMultilevel"/>
    <w:tmpl w:val="91E2F6DA"/>
    <w:lvl w:ilvl="0" w:tplc="97A2C866">
      <w:numFmt w:val="bullet"/>
      <w:lvlText w:val="•"/>
      <w:lvlJc w:val="left"/>
      <w:pPr>
        <w:ind w:left="973" w:hanging="300"/>
      </w:pPr>
      <w:rPr>
        <w:rFonts w:ascii="Arial" w:eastAsia="Arial" w:hAnsi="Arial" w:cs="Arial" w:hint="default"/>
        <w:color w:val="231F20"/>
        <w:w w:val="142"/>
        <w:sz w:val="24"/>
        <w:szCs w:val="24"/>
        <w:lang w:val="en-GB" w:eastAsia="en-US" w:bidi="ar-SA"/>
      </w:rPr>
    </w:lvl>
    <w:lvl w:ilvl="1" w:tplc="7DC80432">
      <w:numFmt w:val="bullet"/>
      <w:lvlText w:val="•"/>
      <w:lvlJc w:val="left"/>
      <w:pPr>
        <w:ind w:left="1986" w:hanging="300"/>
      </w:pPr>
      <w:rPr>
        <w:rFonts w:hint="default"/>
        <w:lang w:val="en-GB" w:eastAsia="en-US" w:bidi="ar-SA"/>
      </w:rPr>
    </w:lvl>
    <w:lvl w:ilvl="2" w:tplc="72187CDE">
      <w:numFmt w:val="bullet"/>
      <w:lvlText w:val="•"/>
      <w:lvlJc w:val="left"/>
      <w:pPr>
        <w:ind w:left="2993" w:hanging="300"/>
      </w:pPr>
      <w:rPr>
        <w:rFonts w:hint="default"/>
        <w:lang w:val="en-GB" w:eastAsia="en-US" w:bidi="ar-SA"/>
      </w:rPr>
    </w:lvl>
    <w:lvl w:ilvl="3" w:tplc="C43839E6">
      <w:numFmt w:val="bullet"/>
      <w:lvlText w:val="•"/>
      <w:lvlJc w:val="left"/>
      <w:pPr>
        <w:ind w:left="3999" w:hanging="300"/>
      </w:pPr>
      <w:rPr>
        <w:rFonts w:hint="default"/>
        <w:lang w:val="en-GB" w:eastAsia="en-US" w:bidi="ar-SA"/>
      </w:rPr>
    </w:lvl>
    <w:lvl w:ilvl="4" w:tplc="A1222ACC">
      <w:numFmt w:val="bullet"/>
      <w:lvlText w:val="•"/>
      <w:lvlJc w:val="left"/>
      <w:pPr>
        <w:ind w:left="5006" w:hanging="300"/>
      </w:pPr>
      <w:rPr>
        <w:rFonts w:hint="default"/>
        <w:lang w:val="en-GB" w:eastAsia="en-US" w:bidi="ar-SA"/>
      </w:rPr>
    </w:lvl>
    <w:lvl w:ilvl="5" w:tplc="184A21B2">
      <w:numFmt w:val="bullet"/>
      <w:lvlText w:val="•"/>
      <w:lvlJc w:val="left"/>
      <w:pPr>
        <w:ind w:left="6012" w:hanging="300"/>
      </w:pPr>
      <w:rPr>
        <w:rFonts w:hint="default"/>
        <w:lang w:val="en-GB" w:eastAsia="en-US" w:bidi="ar-SA"/>
      </w:rPr>
    </w:lvl>
    <w:lvl w:ilvl="6" w:tplc="2A707C42">
      <w:numFmt w:val="bullet"/>
      <w:lvlText w:val="•"/>
      <w:lvlJc w:val="left"/>
      <w:pPr>
        <w:ind w:left="7019" w:hanging="300"/>
      </w:pPr>
      <w:rPr>
        <w:rFonts w:hint="default"/>
        <w:lang w:val="en-GB" w:eastAsia="en-US" w:bidi="ar-SA"/>
      </w:rPr>
    </w:lvl>
    <w:lvl w:ilvl="7" w:tplc="830A8F7E">
      <w:numFmt w:val="bullet"/>
      <w:lvlText w:val="•"/>
      <w:lvlJc w:val="left"/>
      <w:pPr>
        <w:ind w:left="8025" w:hanging="300"/>
      </w:pPr>
      <w:rPr>
        <w:rFonts w:hint="default"/>
        <w:lang w:val="en-GB" w:eastAsia="en-US" w:bidi="ar-SA"/>
      </w:rPr>
    </w:lvl>
    <w:lvl w:ilvl="8" w:tplc="6A362CCA">
      <w:numFmt w:val="bullet"/>
      <w:lvlText w:val="•"/>
      <w:lvlJc w:val="left"/>
      <w:pPr>
        <w:ind w:left="9032" w:hanging="300"/>
      </w:pPr>
      <w:rPr>
        <w:rFonts w:hint="default"/>
        <w:lang w:val="en-GB" w:eastAsia="en-US" w:bidi="ar-SA"/>
      </w:rPr>
    </w:lvl>
  </w:abstractNum>
  <w:abstractNum w:abstractNumId="2" w15:restartNumberingAfterBreak="0">
    <w:nsid w:val="568730E2"/>
    <w:multiLevelType w:val="hybridMultilevel"/>
    <w:tmpl w:val="F258AAB6"/>
    <w:lvl w:ilvl="0" w:tplc="9F6A2C7E">
      <w:numFmt w:val="bullet"/>
      <w:lvlText w:val="-"/>
      <w:lvlJc w:val="left"/>
      <w:pPr>
        <w:ind w:left="973" w:hanging="300"/>
      </w:pPr>
      <w:rPr>
        <w:rFonts w:ascii="Arial" w:eastAsia="Arial" w:hAnsi="Arial" w:cs="Arial" w:hint="default"/>
        <w:color w:val="231F20"/>
        <w:w w:val="105"/>
        <w:sz w:val="24"/>
        <w:szCs w:val="24"/>
        <w:lang w:val="en-GB" w:eastAsia="en-US" w:bidi="ar-SA"/>
      </w:rPr>
    </w:lvl>
    <w:lvl w:ilvl="1" w:tplc="221E1D6A">
      <w:numFmt w:val="bullet"/>
      <w:lvlText w:val="•"/>
      <w:lvlJc w:val="left"/>
      <w:pPr>
        <w:ind w:left="1986" w:hanging="300"/>
      </w:pPr>
      <w:rPr>
        <w:rFonts w:hint="default"/>
        <w:lang w:val="en-GB" w:eastAsia="en-US" w:bidi="ar-SA"/>
      </w:rPr>
    </w:lvl>
    <w:lvl w:ilvl="2" w:tplc="F216C962">
      <w:numFmt w:val="bullet"/>
      <w:lvlText w:val="•"/>
      <w:lvlJc w:val="left"/>
      <w:pPr>
        <w:ind w:left="2993" w:hanging="300"/>
      </w:pPr>
      <w:rPr>
        <w:rFonts w:hint="default"/>
        <w:lang w:val="en-GB" w:eastAsia="en-US" w:bidi="ar-SA"/>
      </w:rPr>
    </w:lvl>
    <w:lvl w:ilvl="3" w:tplc="3A38C67E">
      <w:numFmt w:val="bullet"/>
      <w:lvlText w:val="•"/>
      <w:lvlJc w:val="left"/>
      <w:pPr>
        <w:ind w:left="3999" w:hanging="300"/>
      </w:pPr>
      <w:rPr>
        <w:rFonts w:hint="default"/>
        <w:lang w:val="en-GB" w:eastAsia="en-US" w:bidi="ar-SA"/>
      </w:rPr>
    </w:lvl>
    <w:lvl w:ilvl="4" w:tplc="6D2CAFA2">
      <w:numFmt w:val="bullet"/>
      <w:lvlText w:val="•"/>
      <w:lvlJc w:val="left"/>
      <w:pPr>
        <w:ind w:left="5006" w:hanging="300"/>
      </w:pPr>
      <w:rPr>
        <w:rFonts w:hint="default"/>
        <w:lang w:val="en-GB" w:eastAsia="en-US" w:bidi="ar-SA"/>
      </w:rPr>
    </w:lvl>
    <w:lvl w:ilvl="5" w:tplc="65EEDB4C">
      <w:numFmt w:val="bullet"/>
      <w:lvlText w:val="•"/>
      <w:lvlJc w:val="left"/>
      <w:pPr>
        <w:ind w:left="6012" w:hanging="300"/>
      </w:pPr>
      <w:rPr>
        <w:rFonts w:hint="default"/>
        <w:lang w:val="en-GB" w:eastAsia="en-US" w:bidi="ar-SA"/>
      </w:rPr>
    </w:lvl>
    <w:lvl w:ilvl="6" w:tplc="923ED134">
      <w:numFmt w:val="bullet"/>
      <w:lvlText w:val="•"/>
      <w:lvlJc w:val="left"/>
      <w:pPr>
        <w:ind w:left="7019" w:hanging="300"/>
      </w:pPr>
      <w:rPr>
        <w:rFonts w:hint="default"/>
        <w:lang w:val="en-GB" w:eastAsia="en-US" w:bidi="ar-SA"/>
      </w:rPr>
    </w:lvl>
    <w:lvl w:ilvl="7" w:tplc="3D10E6DA">
      <w:numFmt w:val="bullet"/>
      <w:lvlText w:val="•"/>
      <w:lvlJc w:val="left"/>
      <w:pPr>
        <w:ind w:left="8025" w:hanging="300"/>
      </w:pPr>
      <w:rPr>
        <w:rFonts w:hint="default"/>
        <w:lang w:val="en-GB" w:eastAsia="en-US" w:bidi="ar-SA"/>
      </w:rPr>
    </w:lvl>
    <w:lvl w:ilvl="8" w:tplc="B650B440">
      <w:numFmt w:val="bullet"/>
      <w:lvlText w:val="•"/>
      <w:lvlJc w:val="left"/>
      <w:pPr>
        <w:ind w:left="9032" w:hanging="300"/>
      </w:pPr>
      <w:rPr>
        <w:rFonts w:hint="default"/>
        <w:lang w:val="en-GB" w:eastAsia="en-US" w:bidi="ar-SA"/>
      </w:rPr>
    </w:lvl>
  </w:abstractNum>
  <w:num w:numId="1" w16cid:durableId="1682272027">
    <w:abstractNumId w:val="1"/>
  </w:num>
  <w:num w:numId="2" w16cid:durableId="970751099">
    <w:abstractNumId w:val="2"/>
  </w:num>
  <w:num w:numId="3" w16cid:durableId="30304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D"/>
    <w:rsid w:val="000660BD"/>
    <w:rsid w:val="000E63AF"/>
    <w:rsid w:val="00190FD6"/>
    <w:rsid w:val="002463DC"/>
    <w:rsid w:val="002E1ECC"/>
    <w:rsid w:val="002E4551"/>
    <w:rsid w:val="0030691A"/>
    <w:rsid w:val="00375A04"/>
    <w:rsid w:val="003C4B8A"/>
    <w:rsid w:val="004354F7"/>
    <w:rsid w:val="004C1C6A"/>
    <w:rsid w:val="004D10A2"/>
    <w:rsid w:val="004E314B"/>
    <w:rsid w:val="00562B29"/>
    <w:rsid w:val="00563D9E"/>
    <w:rsid w:val="00620D5B"/>
    <w:rsid w:val="00623C14"/>
    <w:rsid w:val="009655CF"/>
    <w:rsid w:val="00A2486A"/>
    <w:rsid w:val="00A46E4E"/>
    <w:rsid w:val="00AE0F5D"/>
    <w:rsid w:val="00B81356"/>
    <w:rsid w:val="00C9055D"/>
    <w:rsid w:val="00CE3CC4"/>
    <w:rsid w:val="00E03C0A"/>
    <w:rsid w:val="00E43443"/>
    <w:rsid w:val="00EA715C"/>
    <w:rsid w:val="00F06EDA"/>
    <w:rsid w:val="00FC0F3D"/>
    <w:rsid w:val="00FC351C"/>
    <w:rsid w:val="00FD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BAA4B"/>
  <w15:docId w15:val="{29E755B8-BE0F-4492-85E9-BF2A10DD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7"/>
      <w:ind w:left="6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8"/>
      <w:ind w:left="3898"/>
    </w:pPr>
    <w:rPr>
      <w:sz w:val="86"/>
      <w:szCs w:val="86"/>
    </w:rPr>
  </w:style>
  <w:style w:type="paragraph" w:styleId="ListParagraph">
    <w:name w:val="List Paragraph"/>
    <w:basedOn w:val="Normal"/>
    <w:uiPriority w:val="1"/>
    <w:qFormat/>
    <w:pPr>
      <w:spacing w:before="125"/>
      <w:ind w:left="973" w:hanging="3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4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B8A"/>
    <w:rPr>
      <w:rFonts w:ascii="Segoe UI" w:eastAsia="Arial" w:hAnsi="Segoe UI" w:cs="Segoe UI"/>
      <w:sz w:val="18"/>
      <w:szCs w:val="18"/>
      <w:lang w:val="en-GB"/>
    </w:rPr>
  </w:style>
  <w:style w:type="paragraph" w:styleId="Revision">
    <w:name w:val="Revision"/>
    <w:hidden/>
    <w:uiPriority w:val="99"/>
    <w:semiHidden/>
    <w:rsid w:val="00E43443"/>
    <w:pPr>
      <w:widowControl/>
      <w:autoSpaceDE/>
      <w:autoSpaceDN/>
    </w:pPr>
    <w:rPr>
      <w:rFonts w:ascii="Arial" w:eastAsia="Arial" w:hAnsi="Arial" w:cs="Arial"/>
      <w:lang w:val="en-GB"/>
    </w:rPr>
  </w:style>
  <w:style w:type="paragraph" w:styleId="Header">
    <w:name w:val="header"/>
    <w:basedOn w:val="Normal"/>
    <w:link w:val="HeaderChar"/>
    <w:uiPriority w:val="99"/>
    <w:semiHidden/>
    <w:unhideWhenUsed/>
    <w:rsid w:val="00620D5B"/>
    <w:pPr>
      <w:tabs>
        <w:tab w:val="center" w:pos="4513"/>
        <w:tab w:val="right" w:pos="9026"/>
      </w:tabs>
    </w:pPr>
  </w:style>
  <w:style w:type="character" w:customStyle="1" w:styleId="HeaderChar">
    <w:name w:val="Header Char"/>
    <w:basedOn w:val="DefaultParagraphFont"/>
    <w:link w:val="Header"/>
    <w:uiPriority w:val="99"/>
    <w:semiHidden/>
    <w:rsid w:val="00620D5B"/>
    <w:rPr>
      <w:rFonts w:ascii="Arial" w:eastAsia="Arial" w:hAnsi="Arial" w:cs="Arial"/>
      <w:lang w:val="en-GB"/>
    </w:rPr>
  </w:style>
  <w:style w:type="paragraph" w:styleId="Footer">
    <w:name w:val="footer"/>
    <w:basedOn w:val="Normal"/>
    <w:link w:val="FooterChar"/>
    <w:uiPriority w:val="99"/>
    <w:semiHidden/>
    <w:unhideWhenUsed/>
    <w:rsid w:val="00620D5B"/>
    <w:pPr>
      <w:tabs>
        <w:tab w:val="center" w:pos="4513"/>
        <w:tab w:val="right" w:pos="9026"/>
      </w:tabs>
    </w:pPr>
  </w:style>
  <w:style w:type="character" w:customStyle="1" w:styleId="FooterChar">
    <w:name w:val="Footer Char"/>
    <w:basedOn w:val="DefaultParagraphFont"/>
    <w:link w:val="Footer"/>
    <w:uiPriority w:val="99"/>
    <w:semiHidden/>
    <w:rsid w:val="00620D5B"/>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B8722A94B0549A58F71F1D7384B01" ma:contentTypeVersion="13" ma:contentTypeDescription="Create a new document." ma:contentTypeScope="" ma:versionID="149d6e1cc7ccfb20d1db8143d6dc6b33">
  <xsd:schema xmlns:xsd="http://www.w3.org/2001/XMLSchema" xmlns:xs="http://www.w3.org/2001/XMLSchema" xmlns:p="http://schemas.microsoft.com/office/2006/metadata/properties" xmlns:ns3="2814f8ad-8a9d-4ef6-aec0-5c1a7abc4f3c" xmlns:ns4="a901d5a4-e0e9-447d-80b8-882dfa356324" targetNamespace="http://schemas.microsoft.com/office/2006/metadata/properties" ma:root="true" ma:fieldsID="463a200ef7b4edeab14a3d2ad24919cd" ns3:_="" ns4:_="">
    <xsd:import namespace="2814f8ad-8a9d-4ef6-aec0-5c1a7abc4f3c"/>
    <xsd:import namespace="a901d5a4-e0e9-447d-80b8-882dfa3563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4f8ad-8a9d-4ef6-aec0-5c1a7abc4f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1d5a4-e0e9-447d-80b8-882dfa3563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7C561-2682-4CFC-B08A-BE35BE5E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4f8ad-8a9d-4ef6-aec0-5c1a7abc4f3c"/>
    <ds:schemaRef ds:uri="a901d5a4-e0e9-447d-80b8-882dfa356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52FB7-6EBE-4D9E-8A75-04D1891D208B}">
  <ds:schemaRefs>
    <ds:schemaRef ds:uri="http://schemas.microsoft.com/sharepoint/v3/contenttype/forms"/>
  </ds:schemaRefs>
</ds:datastoreItem>
</file>

<file path=customXml/itemProps3.xml><?xml version="1.0" encoding="utf-8"?>
<ds:datastoreItem xmlns:ds="http://schemas.openxmlformats.org/officeDocument/2006/customXml" ds:itemID="{C3C28DD6-2EC4-4857-9191-1F210CB96512}">
  <ds:schemaRefs>
    <ds:schemaRef ds:uri="http://schemas.openxmlformats.org/officeDocument/2006/bibliography"/>
  </ds:schemaRefs>
</ds:datastoreItem>
</file>

<file path=customXml/itemProps4.xml><?xml version="1.0" encoding="utf-8"?>
<ds:datastoreItem xmlns:ds="http://schemas.openxmlformats.org/officeDocument/2006/customXml" ds:itemID="{18952DDA-F2C6-413A-930A-C20256DD6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Wilson</dc:creator>
  <cp:keywords/>
  <cp:lastModifiedBy>Alistair Wilson</cp:lastModifiedBy>
  <cp:revision>2</cp:revision>
  <cp:lastPrinted>2024-01-24T09:12:00Z</cp:lastPrinted>
  <dcterms:created xsi:type="dcterms:W3CDTF">2024-01-24T09:13:00Z</dcterms:created>
  <dcterms:modified xsi:type="dcterms:W3CDTF">2024-01-24T09:13:00Z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Adobe InDesign CC 14.0 (Macintosh)</vt:lpwstr>
  </property>
  <property fmtid="{D5CDD505-2E9C-101B-9397-08002B2CF9AE}" pid="4" name="LastSaved">
    <vt:filetime>2021-03-02T00:00:00Z</vt:filetime>
  </property>
  <property fmtid="{D5CDD505-2E9C-101B-9397-08002B2CF9AE}" pid="5" name="ContentTypeId">
    <vt:lpwstr>0x010100A80B8722A94B0549A58F71F1D7384B01</vt:lpwstr>
  </property>
</Properties>
</file>